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F7D" w:rsidRDefault="00952F7D" w:rsidP="007735A6">
      <w:pPr>
        <w:pStyle w:val="GraphicAnchor"/>
      </w:pPr>
    </w:p>
    <w:p w:rsidR="007735A6" w:rsidRDefault="00756DD0">
      <w:r>
        <w:rPr>
          <w:noProof/>
        </w:rPr>
        <mc:AlternateContent>
          <mc:Choice Requires="wps">
            <w:drawing>
              <wp:anchor distT="91440" distB="91440" distL="114300" distR="114300" simplePos="0" relativeHeight="251693056" behindDoc="0" locked="0" layoutInCell="1" allowOverlap="1">
                <wp:simplePos x="0" y="0"/>
                <wp:positionH relativeFrom="page">
                  <wp:posOffset>472474</wp:posOffset>
                </wp:positionH>
                <wp:positionV relativeFrom="paragraph">
                  <wp:posOffset>309579</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756DD0" w:rsidRPr="00756DD0" w:rsidRDefault="00756DD0">
                            <w:pPr>
                              <w:pBdr>
                                <w:top w:val="single" w:sz="24" w:space="8" w:color="549E39" w:themeColor="accent1"/>
                                <w:bottom w:val="single" w:sz="24" w:space="8" w:color="549E39" w:themeColor="accent1"/>
                              </w:pBdr>
                              <w:rPr>
                                <w:iCs/>
                                <w:color w:val="549E39" w:themeColor="accent1"/>
                                <w:sz w:val="36"/>
                              </w:rPr>
                            </w:pPr>
                            <w:r w:rsidRPr="00756DD0">
                              <w:rPr>
                                <w:iCs/>
                                <w:color w:val="549E39" w:themeColor="accent1"/>
                                <w:sz w:val="36"/>
                              </w:rPr>
                              <w:t>Business Plan 2022-2023</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2pt;margin-top:24.4pt;width:273.6pt;height:110.55pt;z-index:25169305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iW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" filled="f" stroked="f">
                <v:textbox style="mso-fit-shape-to-text:t">
                  <w:txbxContent>
                    <w:p w:rsidR="00756DD0" w:rsidRPr="00756DD0" w:rsidRDefault="00756DD0">
                      <w:pPr>
                        <w:pBdr>
                          <w:top w:val="single" w:sz="24" w:space="8" w:color="549E39" w:themeColor="accent1"/>
                          <w:bottom w:val="single" w:sz="24" w:space="8" w:color="549E39" w:themeColor="accent1"/>
                        </w:pBdr>
                        <w:rPr>
                          <w:iCs/>
                          <w:color w:val="549E39" w:themeColor="accent1"/>
                          <w:sz w:val="36"/>
                        </w:rPr>
                      </w:pPr>
                      <w:r w:rsidRPr="00756DD0">
                        <w:rPr>
                          <w:iCs/>
                          <w:color w:val="549E39" w:themeColor="accent1"/>
                          <w:sz w:val="36"/>
                        </w:rPr>
                        <w:t>Business Plan 2022-2023</w:t>
                      </w:r>
                    </w:p>
                  </w:txbxContent>
                </v:textbox>
                <w10:wrap type="topAndBottom" anchorx="page"/>
              </v:shape>
            </w:pict>
          </mc:Fallback>
        </mc:AlternateContent>
      </w:r>
      <w:r>
        <w:rPr>
          <w:noProof/>
        </w:rPr>
        <mc:AlternateContent>
          <mc:Choice Requires="wps">
            <w:drawing>
              <wp:anchor distT="0" distB="0" distL="114300" distR="114300" simplePos="0" relativeHeight="251691008" behindDoc="1" locked="0" layoutInCell="1" allowOverlap="1">
                <wp:simplePos x="0" y="0"/>
                <wp:positionH relativeFrom="margin">
                  <wp:align>center</wp:align>
                </wp:positionH>
                <wp:positionV relativeFrom="paragraph">
                  <wp:posOffset>170982</wp:posOffset>
                </wp:positionV>
                <wp:extent cx="6917871" cy="8637814"/>
                <wp:effectExtent l="0" t="0" r="16510" b="11430"/>
                <wp:wrapNone/>
                <wp:docPr id="57" name="Rectangle 57"/>
                <wp:cNvGraphicFramePr/>
                <a:graphic xmlns:a="http://schemas.openxmlformats.org/drawingml/2006/main">
                  <a:graphicData uri="http://schemas.microsoft.com/office/word/2010/wordprocessingShape">
                    <wps:wsp>
                      <wps:cNvSpPr/>
                      <wps:spPr>
                        <a:xfrm>
                          <a:off x="0" y="0"/>
                          <a:ext cx="6917871" cy="8637814"/>
                        </a:xfrm>
                        <a:prstGeom prst="rect">
                          <a:avLst/>
                        </a:prstGeom>
                        <a:solidFill>
                          <a:schemeClr val="accent2">
                            <a:lumMod val="20000"/>
                            <a:lumOff val="8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30EFD78B" id="Rectangle 57" o:spid="_x0000_s1026" style="position:absolute;margin-left:0;margin-top:13.45pt;width:544.7pt;height:680.15pt;z-index:-2516254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" fillcolor="#e8f3d3 [661]" strokeweight="2pt">
                <v:stroke miterlimit="4"/>
                <v:textbox style="mso-fit-shape-to-text:t" inset="3pt,3pt,3pt,3pt"/>
                <w10:wrap anchorx="margin"/>
              </v:rect>
            </w:pict>
          </mc:Fallback>
        </mc:AlternateContent>
      </w:r>
    </w:p>
    <w:p w:rsidR="007735A6" w:rsidRDefault="0072265F" w:rsidP="0032399A">
      <w:pPr>
        <w:pStyle w:val="GraphicAnchor"/>
      </w:pPr>
      <w:r>
        <w:drawing>
          <wp:anchor distT="0" distB="0" distL="114300" distR="114300" simplePos="0" relativeHeight="251696128" behindDoc="0" locked="0" layoutInCell="1" allowOverlap="1">
            <wp:simplePos x="0" y="0"/>
            <wp:positionH relativeFrom="margin">
              <wp:posOffset>5708182</wp:posOffset>
            </wp:positionH>
            <wp:positionV relativeFrom="paragraph">
              <wp:posOffset>7372518</wp:posOffset>
            </wp:positionV>
            <wp:extent cx="962292" cy="962292"/>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ather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292" cy="96229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7152" behindDoc="0" locked="0" layoutInCell="1" allowOverlap="1">
            <wp:simplePos x="0" y="0"/>
            <wp:positionH relativeFrom="margin">
              <wp:posOffset>4180506</wp:posOffset>
            </wp:positionH>
            <wp:positionV relativeFrom="paragraph">
              <wp:posOffset>7361121</wp:posOffset>
            </wp:positionV>
            <wp:extent cx="1351746" cy="962022"/>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hew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1746" cy="9620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0" locked="0" layoutInCell="1" allowOverlap="1" wp14:anchorId="51B9AA85">
            <wp:simplePos x="0" y="0"/>
            <wp:positionH relativeFrom="margin">
              <wp:posOffset>1745667</wp:posOffset>
            </wp:positionH>
            <wp:positionV relativeFrom="paragraph">
              <wp:posOffset>7341770</wp:posOffset>
            </wp:positionV>
            <wp:extent cx="2284886" cy="1004823"/>
            <wp:effectExtent l="0" t="0" r="1270" b="5080"/>
            <wp:wrapNone/>
            <wp:docPr id="62" name="Picture 62" descr="The Joy Project - Child, Youth &amp; Family Sponsorshi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oy Project - Child, Youth &amp; Family Sponsorship Pro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4886" cy="1004823"/>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0" locked="0" layoutInCell="1" allowOverlap="1">
            <wp:simplePos x="0" y="0"/>
            <wp:positionH relativeFrom="margin">
              <wp:posOffset>180474</wp:posOffset>
            </wp:positionH>
            <wp:positionV relativeFrom="paragraph">
              <wp:posOffset>7277468</wp:posOffset>
            </wp:positionV>
            <wp:extent cx="1415599" cy="113126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h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7161" cy="1140509"/>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104" behindDoc="0" locked="0" layoutInCell="1" allowOverlap="1">
            <wp:simplePos x="0" y="0"/>
            <wp:positionH relativeFrom="margin">
              <wp:posOffset>2935705</wp:posOffset>
            </wp:positionH>
            <wp:positionV relativeFrom="paragraph">
              <wp:posOffset>5201954</wp:posOffset>
            </wp:positionV>
            <wp:extent cx="855256" cy="246647"/>
            <wp:effectExtent l="0" t="0" r="254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cons (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5256" cy="246647"/>
                    </a:xfrm>
                    <a:prstGeom prst="rect">
                      <a:avLst/>
                    </a:prstGeom>
                  </pic:spPr>
                </pic:pic>
              </a:graphicData>
            </a:graphic>
            <wp14:sizeRelH relativeFrom="page">
              <wp14:pctWidth>0</wp14:pctWidth>
            </wp14:sizeRelH>
            <wp14:sizeRelV relativeFrom="page">
              <wp14:pctHeight>0</wp14:pctHeight>
            </wp14:sizeRelV>
          </wp:anchor>
        </w:drawing>
      </w:r>
      <w:r w:rsidR="00756DD0">
        <w:drawing>
          <wp:anchor distT="0" distB="0" distL="114300" distR="114300" simplePos="0" relativeHeight="251689984" behindDoc="0" locked="0" layoutInCell="1" allowOverlap="1">
            <wp:simplePos x="0" y="0"/>
            <wp:positionH relativeFrom="margin">
              <wp:align>center</wp:align>
            </wp:positionH>
            <wp:positionV relativeFrom="paragraph">
              <wp:posOffset>3504799</wp:posOffset>
            </wp:positionV>
            <wp:extent cx="3228975" cy="1627505"/>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S_Logo_Trans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8975" cy="1627505"/>
                    </a:xfrm>
                    <a:prstGeom prst="rect">
                      <a:avLst/>
                    </a:prstGeom>
                  </pic:spPr>
                </pic:pic>
              </a:graphicData>
            </a:graphic>
            <wp14:sizeRelH relativeFrom="page">
              <wp14:pctWidth>0</wp14:pctWidth>
            </wp14:sizeRelH>
            <wp14:sizeRelV relativeFrom="page">
              <wp14:pctHeight>0</wp14:pctHeight>
            </wp14:sizeRelV>
          </wp:anchor>
        </w:drawing>
      </w:r>
    </w:p>
    <w:p w:rsidR="00756DD0" w:rsidRDefault="00756DD0">
      <w:pPr>
        <w:sectPr w:rsidR="00756DD0" w:rsidSect="00914E47">
          <w:headerReference w:type="even" r:id="rId17"/>
          <w:headerReference w:type="default" r:id="rId18"/>
          <w:headerReference w:type="first" r:id="rId19"/>
          <w:pgSz w:w="12240" w:h="15840" w:code="1"/>
          <w:pgMar w:top="720" w:right="720" w:bottom="720" w:left="720" w:header="576" w:footer="576" w:gutter="0"/>
          <w:cols w:space="708"/>
          <w:titlePg/>
          <w:docGrid w:linePitch="360"/>
        </w:sectPr>
      </w:pPr>
    </w:p>
    <w:p w:rsidR="0032399A" w:rsidRDefault="003239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626"/>
        <w:gridCol w:w="9547"/>
        <w:gridCol w:w="627"/>
      </w:tblGrid>
      <w:tr w:rsidR="008329C1" w:rsidTr="008329C1">
        <w:trPr>
          <w:trHeight w:val="585"/>
        </w:trPr>
        <w:tc>
          <w:tcPr>
            <w:tcW w:w="626" w:type="dxa"/>
          </w:tcPr>
          <w:p w:rsidR="008329C1" w:rsidRDefault="008329C1"/>
        </w:tc>
        <w:tc>
          <w:tcPr>
            <w:tcW w:w="9547" w:type="dxa"/>
            <w:tcBorders>
              <w:top w:val="single" w:sz="18" w:space="0" w:color="455F51" w:themeColor="text2"/>
            </w:tcBorders>
            <w:vAlign w:val="bottom"/>
          </w:tcPr>
          <w:p w:rsidR="008329C1" w:rsidRPr="008329C1" w:rsidRDefault="008329C1" w:rsidP="00256297">
            <w:pPr>
              <w:rPr>
                <w:b/>
                <w:color w:val="549E39" w:themeColor="accent1"/>
                <w:sz w:val="28"/>
                <w:szCs w:val="28"/>
              </w:rPr>
            </w:pPr>
            <w:r w:rsidRPr="008329C1">
              <w:rPr>
                <w:b/>
                <w:color w:val="549E39" w:themeColor="accent1"/>
                <w:sz w:val="28"/>
                <w:szCs w:val="28"/>
              </w:rPr>
              <w:t>MANDATE</w:t>
            </w:r>
            <w:r w:rsidR="00BB68FA">
              <w:rPr>
                <w:b/>
                <w:color w:val="549E39" w:themeColor="accent1"/>
                <w:sz w:val="28"/>
                <w:szCs w:val="28"/>
              </w:rPr>
              <w:t xml:space="preserve"> AND STRATEGIC DIRECTION</w:t>
            </w:r>
          </w:p>
        </w:tc>
        <w:tc>
          <w:tcPr>
            <w:tcW w:w="627" w:type="dxa"/>
          </w:tcPr>
          <w:p w:rsidR="008329C1" w:rsidRDefault="008329C1"/>
        </w:tc>
      </w:tr>
      <w:tr w:rsidR="008329C1" w:rsidTr="006F40C6">
        <w:trPr>
          <w:trHeight w:val="1985"/>
        </w:trPr>
        <w:tc>
          <w:tcPr>
            <w:tcW w:w="626" w:type="dxa"/>
          </w:tcPr>
          <w:p w:rsidR="008329C1" w:rsidRDefault="008329C1"/>
        </w:tc>
        <w:tc>
          <w:tcPr>
            <w:tcW w:w="9547" w:type="dxa"/>
            <w:tcBorders>
              <w:bottom w:val="single" w:sz="18" w:space="0" w:color="455F51" w:themeColor="text2"/>
            </w:tcBorders>
          </w:tcPr>
          <w:p w:rsidR="008329C1" w:rsidRPr="008329C1" w:rsidRDefault="008329C1" w:rsidP="008329C1">
            <w:r>
              <w:rPr>
                <w:noProof/>
              </w:rPr>
              <mc:AlternateContent>
                <mc:Choice Requires="wps">
                  <w:drawing>
                    <wp:anchor distT="45720" distB="45720" distL="114300" distR="114300" simplePos="0" relativeHeight="251663360" behindDoc="0" locked="0" layoutInCell="1" allowOverlap="1" wp14:anchorId="4FCD2873" wp14:editId="5038ABDF">
                      <wp:simplePos x="0" y="0"/>
                      <wp:positionH relativeFrom="column">
                        <wp:posOffset>69215</wp:posOffset>
                      </wp:positionH>
                      <wp:positionV relativeFrom="paragraph">
                        <wp:posOffset>246380</wp:posOffset>
                      </wp:positionV>
                      <wp:extent cx="5895975" cy="1133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noFill/>
                                <a:miter lim="800000"/>
                                <a:headEnd/>
                                <a:tailEnd/>
                              </a:ln>
                            </wps:spPr>
                            <wps:txbx>
                              <w:txbxContent>
                                <w:p w:rsidR="00DD344D" w:rsidRPr="008329C1" w:rsidRDefault="00DD344D" w:rsidP="008329C1">
                                  <w:pPr>
                                    <w:pStyle w:val="Text"/>
                                  </w:pPr>
                                  <w:r>
                                    <w:t xml:space="preserve">The Children’s Aid Society of the District of Nipissing and Parry Sound (the Society) is a child protection agency mandated under the </w:t>
                                  </w:r>
                                  <w:r>
                                    <w:rPr>
                                      <w:i/>
                                    </w:rPr>
                                    <w:t>Child, Youth and Family Services Act</w:t>
                                  </w:r>
                                  <w:r>
                                    <w:t xml:space="preserve">. Under this mandate the Society has the responsibility to protect children from harm or the risk of harm due to neglect and physical, sexual or emotional abuse.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2873" id="_x0000_s1027" type="#_x0000_t202" style="position:absolute;margin-left:5.45pt;margin-top:19.4pt;width:464.25pt;height:8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9CJQIAACU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" stroked="f">
                      <v:textbox>
                        <w:txbxContent>
                          <w:p w:rsidR="00DD344D" w:rsidRPr="008329C1" w:rsidRDefault="00DD344D" w:rsidP="008329C1">
                            <w:pPr>
                              <w:pStyle w:val="Text"/>
                            </w:pPr>
                            <w:r>
                              <w:t xml:space="preserve">The Children’s Aid Society of the District of Nipissing and Parry Sound (the Society) is a child protection agency mandated under the </w:t>
                            </w:r>
                            <w:r>
                              <w:rPr>
                                <w:i/>
                              </w:rPr>
                              <w:t>Child, Youth and Family Services Act</w:t>
                            </w:r>
                            <w:r>
                              <w:t xml:space="preserve">. Under this mandate the Society has the responsibility to protect children from harm or the risk of harm due to neglect and physical, sexual or emotional abuse. </w:t>
                            </w:r>
                          </w:p>
                        </w:txbxContent>
                      </v:textbox>
                      <w10:wrap type="square"/>
                    </v:shape>
                  </w:pict>
                </mc:Fallback>
              </mc:AlternateContent>
            </w:r>
          </w:p>
        </w:tc>
        <w:tc>
          <w:tcPr>
            <w:tcW w:w="627" w:type="dxa"/>
          </w:tcPr>
          <w:p w:rsidR="008329C1" w:rsidRDefault="008329C1"/>
        </w:tc>
      </w:tr>
      <w:tr w:rsidR="006F40C6" w:rsidTr="00DD344D">
        <w:trPr>
          <w:trHeight w:val="8040"/>
        </w:trPr>
        <w:tc>
          <w:tcPr>
            <w:tcW w:w="626" w:type="dxa"/>
          </w:tcPr>
          <w:p w:rsidR="006F40C6" w:rsidRDefault="006F40C6"/>
        </w:tc>
        <w:tc>
          <w:tcPr>
            <w:tcW w:w="9547" w:type="dxa"/>
            <w:tcBorders>
              <w:top w:val="single" w:sz="18" w:space="0" w:color="455F51" w:themeColor="text2"/>
            </w:tcBorders>
          </w:tcPr>
          <w:p w:rsidR="006F40C6" w:rsidRDefault="006F40C6" w:rsidP="00256297"/>
          <w:p w:rsidR="006F40C6" w:rsidRDefault="006F40C6" w:rsidP="00256297">
            <w:pPr>
              <w:pStyle w:val="Text"/>
            </w:pPr>
            <w:r>
              <w:t>Children’s Aid Societies are independently governed agencies that are responsible for providing mandatory critical services. They are legislated to perform certain functions which includes:</w:t>
            </w:r>
          </w:p>
          <w:p w:rsidR="006F40C6" w:rsidRDefault="006F40C6" w:rsidP="00256297">
            <w:pPr>
              <w:pStyle w:val="Text"/>
            </w:pPr>
          </w:p>
          <w:p w:rsidR="006F40C6" w:rsidRDefault="006F40C6" w:rsidP="006F40C6">
            <w:pPr>
              <w:pStyle w:val="Text"/>
              <w:numPr>
                <w:ilvl w:val="0"/>
                <w:numId w:val="1"/>
              </w:numPr>
            </w:pPr>
            <w:r>
              <w:t xml:space="preserve">Investigate allegations or evidence that children who are under the age of sixteen years or in the society’s care or are under its supervision may </w:t>
            </w:r>
            <w:proofErr w:type="gramStart"/>
            <w:r>
              <w:t>be in need of</w:t>
            </w:r>
            <w:proofErr w:type="gramEnd"/>
            <w:r>
              <w:t xml:space="preserve"> protection;</w:t>
            </w:r>
          </w:p>
          <w:p w:rsidR="006F40C6" w:rsidRDefault="006F40C6" w:rsidP="006F40C6">
            <w:pPr>
              <w:pStyle w:val="Text"/>
              <w:numPr>
                <w:ilvl w:val="0"/>
                <w:numId w:val="1"/>
              </w:numPr>
            </w:pPr>
            <w:r>
              <w:t>Protect, where necessary, children who are under the age of eighteen years or in the Society’s care or under its supervision;</w:t>
            </w:r>
          </w:p>
          <w:p w:rsidR="006F40C6" w:rsidRDefault="006F40C6" w:rsidP="006F40C6">
            <w:pPr>
              <w:pStyle w:val="Text"/>
              <w:numPr>
                <w:ilvl w:val="0"/>
                <w:numId w:val="1"/>
              </w:numPr>
            </w:pPr>
            <w:r>
              <w:t>Provide guidance, counselling and other services to families for protecting children or for the prevention of circumstances requiring the protection of children;</w:t>
            </w:r>
          </w:p>
          <w:p w:rsidR="006F40C6" w:rsidRDefault="006F40C6" w:rsidP="006F40C6">
            <w:pPr>
              <w:pStyle w:val="Text"/>
              <w:numPr>
                <w:ilvl w:val="0"/>
                <w:numId w:val="1"/>
              </w:numPr>
            </w:pPr>
            <w:r>
              <w:t>Provide care for children assigned o</w:t>
            </w:r>
            <w:r w:rsidR="00C91498">
              <w:t>r</w:t>
            </w:r>
            <w:r>
              <w:t xml:space="preserve"> committed to its care under the Act;</w:t>
            </w:r>
          </w:p>
          <w:p w:rsidR="006F40C6" w:rsidRDefault="006F40C6" w:rsidP="006F40C6">
            <w:pPr>
              <w:pStyle w:val="Text"/>
              <w:numPr>
                <w:ilvl w:val="0"/>
                <w:numId w:val="1"/>
              </w:numPr>
            </w:pPr>
            <w:r>
              <w:t>Supervise children assigned to its supervision under the Act;</w:t>
            </w:r>
          </w:p>
          <w:p w:rsidR="006F40C6" w:rsidRDefault="006F40C6" w:rsidP="006F40C6">
            <w:pPr>
              <w:pStyle w:val="Text"/>
              <w:numPr>
                <w:ilvl w:val="0"/>
                <w:numId w:val="1"/>
              </w:numPr>
            </w:pPr>
            <w:r>
              <w:t>Place children for adoption under Part VII; and</w:t>
            </w:r>
          </w:p>
          <w:p w:rsidR="006F40C6" w:rsidRPr="00256297" w:rsidRDefault="006F40C6" w:rsidP="00256297">
            <w:pPr>
              <w:pStyle w:val="Text"/>
              <w:numPr>
                <w:ilvl w:val="0"/>
                <w:numId w:val="1"/>
              </w:numPr>
            </w:pPr>
            <w:r>
              <w:t>Perform any other duties given to it by this o</w:t>
            </w:r>
            <w:r w:rsidR="00C91498">
              <w:t>r</w:t>
            </w:r>
            <w:r>
              <w:t xml:space="preserve"> any other Act.</w:t>
            </w:r>
          </w:p>
          <w:p w:rsidR="006F40C6" w:rsidRDefault="006F40C6" w:rsidP="00256297">
            <w:pPr>
              <w:pStyle w:val="Text"/>
            </w:pPr>
          </w:p>
          <w:p w:rsidR="00F33306" w:rsidRDefault="006F40C6" w:rsidP="00E83562">
            <w:pPr>
              <w:pStyle w:val="Text"/>
            </w:pPr>
            <w:r>
              <w:t xml:space="preserve">This legislation and the supporting regulations, directives, and standards prescribe specific and detailed requirements for what services Children’s Aid Societies must provide, how they must provide these services, including services to Indigenous children and families and French language services, as well as timelines in which these mandatory services must be provided.  </w:t>
            </w:r>
          </w:p>
          <w:p w:rsidR="00E83562" w:rsidRDefault="00E83562" w:rsidP="00E83562">
            <w:pPr>
              <w:pStyle w:val="Text"/>
            </w:pPr>
          </w:p>
          <w:p w:rsidR="00496DB6" w:rsidRDefault="00496DB6" w:rsidP="00F33306">
            <w:pPr>
              <w:pStyle w:val="Heading3"/>
            </w:pPr>
            <w:r>
              <w:t>RECONCILIATION AND ACKNOWLEDGEMENT</w:t>
            </w:r>
          </w:p>
          <w:p w:rsidR="00496DB6" w:rsidRDefault="00477381" w:rsidP="00496DB6">
            <w:pPr>
              <w:pStyle w:val="Text"/>
            </w:pPr>
            <w:r>
              <w:t>The Society</w:t>
            </w:r>
            <w:r w:rsidR="00496DB6">
              <w:t xml:space="preserve"> remain</w:t>
            </w:r>
            <w:r>
              <w:t>s</w:t>
            </w:r>
            <w:r w:rsidR="00496DB6">
              <w:t xml:space="preserve"> steadfast in our commitment to </w:t>
            </w:r>
            <w:proofErr w:type="spellStart"/>
            <w:r w:rsidR="00496DB6">
              <w:t>honour</w:t>
            </w:r>
            <w:proofErr w:type="spellEnd"/>
            <w:r w:rsidR="00496DB6">
              <w:t xml:space="preserve"> the Truth and Reconciliation Commission’s Calls to Action and the nine commitments made by child welfare agencies across Ontario. </w:t>
            </w:r>
          </w:p>
          <w:p w:rsidR="00496DB6" w:rsidRDefault="00496DB6" w:rsidP="00496DB6">
            <w:pPr>
              <w:pStyle w:val="Text"/>
            </w:pPr>
          </w:p>
          <w:p w:rsidR="00C91498" w:rsidRDefault="00C91498" w:rsidP="00496DB6">
            <w:pPr>
              <w:pStyle w:val="Text"/>
            </w:pPr>
          </w:p>
          <w:p w:rsidR="00496DB6" w:rsidRDefault="00496DB6" w:rsidP="00496DB6">
            <w:pPr>
              <w:pStyle w:val="Text"/>
            </w:pPr>
            <w:r>
              <w:lastRenderedPageBreak/>
              <w:t xml:space="preserve">Reconciliation with Indigenous Peoples remains a priority for </w:t>
            </w:r>
            <w:r w:rsidR="00107EA5">
              <w:t>the Society</w:t>
            </w:r>
            <w:r>
              <w:t xml:space="preserve">. Staff, foster parents and board members continue to learn about the experience of oppression by Indigenous families. </w:t>
            </w:r>
          </w:p>
          <w:p w:rsidR="00107EA5" w:rsidRDefault="00107EA5" w:rsidP="00496DB6">
            <w:pPr>
              <w:pStyle w:val="Text"/>
            </w:pPr>
          </w:p>
          <w:p w:rsidR="00107EA5" w:rsidRPr="0072265F" w:rsidRDefault="00496DB6" w:rsidP="00496DB6">
            <w:pPr>
              <w:pStyle w:val="Text"/>
              <w:rPr>
                <w:sz w:val="24"/>
              </w:rPr>
            </w:pPr>
            <w:r w:rsidRPr="0072265F">
              <w:rPr>
                <w:sz w:val="24"/>
              </w:rPr>
              <w:t>The history and impact of child welfare policy and practices on Indigenous people has created a divide and mistrust that is deeply ingrained and threads through multiple generations. With targeted practices related to Colonization and the passing of law, Indigenous people have been marginalized, segregated and left dependent on the government and its institutions.</w:t>
            </w:r>
          </w:p>
          <w:p w:rsidR="00496DB6" w:rsidRPr="0072265F" w:rsidRDefault="00496DB6" w:rsidP="00496DB6">
            <w:pPr>
              <w:pStyle w:val="Text"/>
              <w:rPr>
                <w:sz w:val="24"/>
              </w:rPr>
            </w:pPr>
            <w:r w:rsidRPr="0072265F">
              <w:rPr>
                <w:sz w:val="24"/>
              </w:rPr>
              <w:t xml:space="preserve"> </w:t>
            </w:r>
          </w:p>
          <w:p w:rsidR="00496DB6" w:rsidRPr="0072265F" w:rsidRDefault="00496DB6" w:rsidP="00496DB6">
            <w:pPr>
              <w:pStyle w:val="Text"/>
              <w:rPr>
                <w:sz w:val="24"/>
              </w:rPr>
            </w:pPr>
            <w:r w:rsidRPr="0072265F">
              <w:rPr>
                <w:sz w:val="24"/>
              </w:rPr>
              <w:t>Children’s Aid Societies are deeply concerned at the over-representation of Indigenous children in care and the critical feedback from Indigenous communities about the negative impact that the current system has on Indigenous children, families, and communities.</w:t>
            </w:r>
          </w:p>
          <w:p w:rsidR="00107EA5" w:rsidRPr="0072265F" w:rsidRDefault="00107EA5" w:rsidP="00496DB6">
            <w:pPr>
              <w:pStyle w:val="Text"/>
              <w:rPr>
                <w:sz w:val="24"/>
              </w:rPr>
            </w:pPr>
          </w:p>
          <w:p w:rsidR="00496DB6" w:rsidRPr="0072265F" w:rsidRDefault="00496DB6" w:rsidP="00496DB6">
            <w:pPr>
              <w:pStyle w:val="Text"/>
              <w:rPr>
                <w:sz w:val="24"/>
              </w:rPr>
            </w:pPr>
            <w:r w:rsidRPr="0072265F">
              <w:rPr>
                <w:sz w:val="24"/>
              </w:rPr>
              <w:t xml:space="preserve">The Ontario Association of Children’s Aid Societies (OACAS) and child welfare agencies across Ontario have worked to evolve a number of priorities in support of Indigenous child welfare and improving services to Indigenous families while trying to mitigate the over-representation of Indigenous children on current caseloads. </w:t>
            </w:r>
          </w:p>
          <w:p w:rsidR="00107EA5" w:rsidRPr="0072265F" w:rsidRDefault="00107EA5" w:rsidP="00107EA5">
            <w:pPr>
              <w:pStyle w:val="Text"/>
              <w:rPr>
                <w:sz w:val="24"/>
              </w:rPr>
            </w:pPr>
          </w:p>
          <w:p w:rsidR="00107EA5" w:rsidRPr="0072265F" w:rsidRDefault="00107EA5" w:rsidP="00107EA5">
            <w:pPr>
              <w:pStyle w:val="Text"/>
              <w:rPr>
                <w:sz w:val="24"/>
              </w:rPr>
            </w:pPr>
            <w:r w:rsidRPr="0072265F">
              <w:rPr>
                <w:sz w:val="24"/>
              </w:rPr>
              <w:t xml:space="preserve">Niijaansinaanik Child and Family Services was designated by the Ministry to provide child protection services on April 1, 2021. The Society worked with Niijaansinaanik Child and Family Services to support their designation process including protocol development, data collection, providing connects to other service providers and employee mentoring. </w:t>
            </w:r>
          </w:p>
          <w:p w:rsidR="00107EA5" w:rsidRPr="0072265F" w:rsidRDefault="00107EA5" w:rsidP="00107EA5">
            <w:pPr>
              <w:pStyle w:val="Text"/>
              <w:rPr>
                <w:sz w:val="24"/>
              </w:rPr>
            </w:pPr>
          </w:p>
          <w:p w:rsidR="00E83562" w:rsidRPr="0072265F" w:rsidRDefault="00107EA5" w:rsidP="00107EA5">
            <w:pPr>
              <w:pStyle w:val="Text"/>
              <w:rPr>
                <w:sz w:val="24"/>
              </w:rPr>
            </w:pPr>
            <w:r w:rsidRPr="0072265F">
              <w:rPr>
                <w:sz w:val="24"/>
              </w:rPr>
              <w:t xml:space="preserve">As work continues in the sector to fulfill the commitments made towards Truth and Reconciliation, the Society has taken steps to further the achievements of Truth and Reconciliation and will continue to explore opportunities to build and enhance existing relationships with Indigenous </w:t>
            </w:r>
          </w:p>
          <w:p w:rsidR="00E83562" w:rsidRDefault="00107EA5" w:rsidP="00107EA5">
            <w:pPr>
              <w:pStyle w:val="Text"/>
              <w:rPr>
                <w:sz w:val="24"/>
              </w:rPr>
            </w:pPr>
            <w:r w:rsidRPr="0072265F">
              <w:rPr>
                <w:sz w:val="24"/>
              </w:rPr>
              <w:t xml:space="preserve">communities. </w:t>
            </w:r>
          </w:p>
          <w:p w:rsidR="0072265F" w:rsidRPr="0072265F" w:rsidRDefault="0072265F" w:rsidP="00107EA5">
            <w:pPr>
              <w:pStyle w:val="Text"/>
              <w:rPr>
                <w:noProof/>
                <w:sz w:val="24"/>
              </w:rPr>
            </w:pPr>
          </w:p>
          <w:p w:rsidR="00C91498" w:rsidRDefault="00C91498" w:rsidP="00E83562">
            <w:pPr>
              <w:pStyle w:val="Text"/>
              <w:jc w:val="center"/>
            </w:pPr>
            <w:r>
              <w:rPr>
                <w:noProof/>
              </w:rPr>
              <w:drawing>
                <wp:inline distT="0" distB="0" distL="0" distR="0" wp14:anchorId="0F0C7F61" wp14:editId="6D7F5752">
                  <wp:extent cx="4505037" cy="1982216"/>
                  <wp:effectExtent l="0" t="0" r="0" b="0"/>
                  <wp:docPr id="3" name="Picture 3" descr="The Joy Project - Child, Youth &amp; Family Sponsorshi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oy Project - Child, Youth &amp; Family Sponsorship Pro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2060" cy="1994106"/>
                          </a:xfrm>
                          <a:prstGeom prst="rect">
                            <a:avLst/>
                          </a:prstGeom>
                          <a:noFill/>
                          <a:ln>
                            <a:noFill/>
                          </a:ln>
                        </pic:spPr>
                      </pic:pic>
                    </a:graphicData>
                  </a:graphic>
                </wp:inline>
              </w:drawing>
            </w:r>
          </w:p>
          <w:p w:rsidR="00E83562" w:rsidRDefault="00E83562" w:rsidP="00107EA5">
            <w:pPr>
              <w:pStyle w:val="Heading3"/>
            </w:pPr>
          </w:p>
          <w:p w:rsidR="0072265F" w:rsidRDefault="0072265F" w:rsidP="0072265F"/>
          <w:p w:rsidR="0072265F" w:rsidRPr="0072265F" w:rsidRDefault="0072265F" w:rsidP="0072265F"/>
          <w:p w:rsidR="00496DB6" w:rsidRDefault="00107EA5" w:rsidP="00107EA5">
            <w:pPr>
              <w:pStyle w:val="Heading3"/>
            </w:pPr>
            <w:r>
              <w:t>Equity</w:t>
            </w:r>
          </w:p>
          <w:p w:rsidR="00107EA5" w:rsidRPr="0072265F" w:rsidRDefault="00107EA5" w:rsidP="00107EA5">
            <w:pPr>
              <w:pStyle w:val="Text"/>
              <w:rPr>
                <w:sz w:val="24"/>
              </w:rPr>
            </w:pPr>
            <w:r w:rsidRPr="0072265F">
              <w:rPr>
                <w:sz w:val="24"/>
              </w:rPr>
              <w:t xml:space="preserve">Race and ethnocentric services are provincial and local priorities, as the child welfare sector works to advance strategies and frameworks to support providing culturally </w:t>
            </w:r>
            <w:r w:rsidRPr="0072265F">
              <w:rPr>
                <w:sz w:val="24"/>
              </w:rPr>
              <w:lastRenderedPageBreak/>
              <w:t>appropriate services</w:t>
            </w:r>
            <w:r w:rsidR="00A0145E" w:rsidRPr="0072265F">
              <w:rPr>
                <w:sz w:val="24"/>
              </w:rPr>
              <w:t xml:space="preserve"> and center decisions, practices and relationships around a framework of equity and inclusivity. </w:t>
            </w:r>
          </w:p>
          <w:p w:rsidR="00D32034" w:rsidRDefault="00D32034" w:rsidP="00107EA5">
            <w:pPr>
              <w:pStyle w:val="Text"/>
            </w:pPr>
          </w:p>
          <w:p w:rsidR="00D32034" w:rsidRPr="0072265F" w:rsidRDefault="00D32034" w:rsidP="00D32034">
            <w:pPr>
              <w:pStyle w:val="Text"/>
              <w:rPr>
                <w:sz w:val="24"/>
              </w:rPr>
            </w:pPr>
            <w:r w:rsidRPr="0072265F">
              <w:rPr>
                <w:sz w:val="24"/>
              </w:rPr>
              <w:t xml:space="preserve">The Society has established an Anti-Oppression committee to guide our practices through an equity lens. </w:t>
            </w:r>
          </w:p>
          <w:p w:rsidR="00D32034" w:rsidRPr="0072265F" w:rsidRDefault="00D32034" w:rsidP="00107EA5">
            <w:pPr>
              <w:pStyle w:val="Text"/>
              <w:rPr>
                <w:sz w:val="24"/>
              </w:rPr>
            </w:pPr>
          </w:p>
          <w:p w:rsidR="00A0145E" w:rsidRPr="0072265F" w:rsidRDefault="00A0145E" w:rsidP="00107EA5">
            <w:pPr>
              <w:pStyle w:val="Text"/>
              <w:rPr>
                <w:sz w:val="24"/>
              </w:rPr>
            </w:pPr>
            <w:r w:rsidRPr="0072265F">
              <w:rPr>
                <w:sz w:val="24"/>
              </w:rPr>
              <w:t xml:space="preserve">The Society has continued to place a focus on understanding the unique identity and experiences of service recipients and </w:t>
            </w:r>
            <w:r w:rsidR="0072265F" w:rsidRPr="0072265F">
              <w:rPr>
                <w:sz w:val="24"/>
              </w:rPr>
              <w:t>has implemented</w:t>
            </w:r>
            <w:r w:rsidRPr="0072265F">
              <w:rPr>
                <w:sz w:val="24"/>
              </w:rPr>
              <w:t xml:space="preserve"> Identify Based Data Collection</w:t>
            </w:r>
            <w:r w:rsidR="0072265F" w:rsidRPr="0072265F">
              <w:rPr>
                <w:sz w:val="24"/>
              </w:rPr>
              <w:t xml:space="preserve"> practices</w:t>
            </w:r>
            <w:r w:rsidRPr="0072265F">
              <w:rPr>
                <w:sz w:val="24"/>
              </w:rPr>
              <w:t xml:space="preserve">. </w:t>
            </w:r>
          </w:p>
          <w:p w:rsidR="003B4047" w:rsidRDefault="003B4047" w:rsidP="00107EA5">
            <w:pPr>
              <w:pStyle w:val="Text"/>
            </w:pPr>
          </w:p>
          <w:p w:rsidR="003B4047" w:rsidRPr="00107EA5" w:rsidRDefault="003B4047" w:rsidP="00107EA5">
            <w:pPr>
              <w:pStyle w:val="Text"/>
            </w:pPr>
            <w:r>
              <w:rPr>
                <w:noProof/>
              </w:rPr>
              <w:drawing>
                <wp:inline distT="0" distB="0" distL="0" distR="0" wp14:anchorId="793BAEE1" wp14:editId="5F6EA372">
                  <wp:extent cx="6049671" cy="4034305"/>
                  <wp:effectExtent l="0" t="0" r="8255" b="4445"/>
                  <wp:docPr id="30" name="Picture 30" descr="https://www.parnipcas.org/wp-content/uploads/2020/08/shutterstock_78845419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arnipcas.org/wp-content/uploads/2020/08/shutterstock_788454196-scal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6650" cy="4045627"/>
                          </a:xfrm>
                          <a:prstGeom prst="rect">
                            <a:avLst/>
                          </a:prstGeom>
                          <a:noFill/>
                          <a:ln>
                            <a:noFill/>
                          </a:ln>
                        </pic:spPr>
                      </pic:pic>
                    </a:graphicData>
                  </a:graphic>
                </wp:inline>
              </w:drawing>
            </w:r>
          </w:p>
        </w:tc>
        <w:tc>
          <w:tcPr>
            <w:tcW w:w="627" w:type="dxa"/>
          </w:tcPr>
          <w:p w:rsidR="006F40C6" w:rsidRDefault="006F40C6"/>
        </w:tc>
      </w:tr>
    </w:tbl>
    <w:p w:rsidR="00256297" w:rsidRDefault="00256297"/>
    <w:p w:rsidR="0072265F" w:rsidRDefault="0072265F" w:rsidP="0072265F"/>
    <w:p w:rsidR="0072265F" w:rsidRPr="0072265F" w:rsidRDefault="0072265F" w:rsidP="0072265F"/>
    <w:p w:rsidR="0072265F" w:rsidRDefault="0072265F" w:rsidP="00920259">
      <w:pPr>
        <w:pStyle w:val="Heading3"/>
      </w:pPr>
    </w:p>
    <w:p w:rsidR="0072265F" w:rsidRDefault="0072265F" w:rsidP="00920259">
      <w:pPr>
        <w:pStyle w:val="Heading3"/>
      </w:pPr>
    </w:p>
    <w:p w:rsidR="0072265F" w:rsidRDefault="0072265F" w:rsidP="00920259">
      <w:pPr>
        <w:pStyle w:val="Heading3"/>
      </w:pPr>
    </w:p>
    <w:p w:rsidR="0072265F" w:rsidRDefault="0072265F" w:rsidP="00920259">
      <w:pPr>
        <w:pStyle w:val="Heading3"/>
      </w:pPr>
    </w:p>
    <w:p w:rsidR="0072265F" w:rsidRDefault="0072265F" w:rsidP="00920259">
      <w:pPr>
        <w:pStyle w:val="Heading3"/>
      </w:pPr>
    </w:p>
    <w:p w:rsidR="0072265F" w:rsidRDefault="0072265F" w:rsidP="00920259">
      <w:pPr>
        <w:pStyle w:val="Heading3"/>
      </w:pPr>
    </w:p>
    <w:p w:rsidR="0072265F" w:rsidRDefault="0072265F" w:rsidP="00920259">
      <w:pPr>
        <w:pStyle w:val="Heading3"/>
      </w:pPr>
    </w:p>
    <w:p w:rsidR="0072265F" w:rsidRDefault="0072265F" w:rsidP="00920259">
      <w:pPr>
        <w:pStyle w:val="Heading3"/>
      </w:pPr>
    </w:p>
    <w:p w:rsidR="00920259" w:rsidRDefault="00920259" w:rsidP="00920259">
      <w:pPr>
        <w:pStyle w:val="Heading3"/>
      </w:pPr>
      <w:r>
        <w:lastRenderedPageBreak/>
        <w:t>Overview of Current and Future Programs and Key Activities</w:t>
      </w:r>
    </w:p>
    <w:p w:rsidR="00920259" w:rsidRDefault="00920259" w:rsidP="00256297"/>
    <w:p w:rsidR="00920259" w:rsidRDefault="00920259" w:rsidP="00256297">
      <w:pPr>
        <w:rPr>
          <w:color w:val="000000" w:themeColor="text1"/>
        </w:rPr>
      </w:pPr>
      <w:r w:rsidRPr="00920259">
        <w:rPr>
          <w:b/>
          <w:color w:val="000000" w:themeColor="text1"/>
        </w:rPr>
        <w:t>Current</w:t>
      </w:r>
      <w:r>
        <w:rPr>
          <w:color w:val="000000" w:themeColor="text1"/>
        </w:rPr>
        <w:t>: The Children’s Aid Society is a multi-service agency offering programs funded through the Public Health Agency of Canada (</w:t>
      </w:r>
      <w:r w:rsidRPr="00DD344D">
        <w:rPr>
          <w:i/>
          <w:color w:val="000000" w:themeColor="text1"/>
        </w:rPr>
        <w:t>Canada Prenatal Nutrition Program, Community Action Program for Children</w:t>
      </w:r>
      <w:r>
        <w:rPr>
          <w:color w:val="000000" w:themeColor="text1"/>
        </w:rPr>
        <w:t>), Ministry of Youth Justice Services</w:t>
      </w:r>
      <w:r w:rsidR="0072265F">
        <w:rPr>
          <w:color w:val="000000" w:themeColor="text1"/>
        </w:rPr>
        <w:t xml:space="preserve"> and Department of Justice Canada</w:t>
      </w:r>
      <w:r>
        <w:rPr>
          <w:color w:val="000000" w:themeColor="text1"/>
        </w:rPr>
        <w:t xml:space="preserve"> (</w:t>
      </w:r>
      <w:r w:rsidRPr="00DD344D">
        <w:rPr>
          <w:i/>
          <w:color w:val="000000" w:themeColor="text1"/>
        </w:rPr>
        <w:t>Community Support Team</w:t>
      </w:r>
      <w:r w:rsidR="0072265F">
        <w:rPr>
          <w:i/>
          <w:color w:val="000000" w:themeColor="text1"/>
        </w:rPr>
        <w:t xml:space="preserve">, </w:t>
      </w:r>
      <w:r w:rsidR="0072265F" w:rsidRPr="0072265F">
        <w:rPr>
          <w:i/>
          <w:color w:val="000000" w:themeColor="text1"/>
        </w:rPr>
        <w:t>Child and Youth Advocacy Centre</w:t>
      </w:r>
      <w:r>
        <w:rPr>
          <w:color w:val="000000" w:themeColor="text1"/>
        </w:rPr>
        <w:t xml:space="preserve">), and </w:t>
      </w:r>
      <w:r w:rsidR="00DD344D">
        <w:rPr>
          <w:color w:val="000000" w:themeColor="text1"/>
        </w:rPr>
        <w:t>Ministry of Community, Children and Social Services</w:t>
      </w:r>
      <w:r>
        <w:rPr>
          <w:color w:val="000000" w:themeColor="text1"/>
        </w:rPr>
        <w:t xml:space="preserve"> (</w:t>
      </w:r>
      <w:r w:rsidRPr="00DD344D">
        <w:rPr>
          <w:i/>
          <w:color w:val="000000" w:themeColor="text1"/>
        </w:rPr>
        <w:t>Child Welfare, Infant an</w:t>
      </w:r>
      <w:r w:rsidR="00DD344D">
        <w:rPr>
          <w:i/>
          <w:color w:val="000000" w:themeColor="text1"/>
        </w:rPr>
        <w:t>d</w:t>
      </w:r>
      <w:r w:rsidRPr="00DD344D">
        <w:rPr>
          <w:i/>
          <w:color w:val="000000" w:themeColor="text1"/>
        </w:rPr>
        <w:t xml:space="preserve"> Child Development, Community Capacity Building, Child and Family Intervention</w:t>
      </w:r>
      <w:r>
        <w:rPr>
          <w:color w:val="000000" w:themeColor="text1"/>
        </w:rPr>
        <w:t xml:space="preserve">). </w:t>
      </w:r>
    </w:p>
    <w:p w:rsidR="00920259" w:rsidRDefault="00920259" w:rsidP="00256297">
      <w:pPr>
        <w:rPr>
          <w:color w:val="000000" w:themeColor="text1"/>
        </w:rPr>
      </w:pPr>
    </w:p>
    <w:p w:rsidR="00E55BAE" w:rsidRDefault="00E55BAE" w:rsidP="00256297">
      <w:pPr>
        <w:rPr>
          <w:color w:val="000000" w:themeColor="text1"/>
        </w:rPr>
      </w:pPr>
      <w:r>
        <w:rPr>
          <w:color w:val="000000" w:themeColor="text1"/>
        </w:rPr>
        <w:t>Within</w:t>
      </w:r>
      <w:r w:rsidR="00920259">
        <w:rPr>
          <w:color w:val="000000" w:themeColor="text1"/>
        </w:rPr>
        <w:t xml:space="preserve"> each of these programs we offer a wide variety of evidence-based services that are trauma-informed, inclusive, and person-centered</w:t>
      </w:r>
      <w:r>
        <w:rPr>
          <w:color w:val="000000" w:themeColor="text1"/>
        </w:rPr>
        <w:t xml:space="preserve"> including but not limited to; </w:t>
      </w:r>
    </w:p>
    <w:p w:rsidR="00E55BAE" w:rsidRDefault="00E55BAE" w:rsidP="00E55BAE">
      <w:pPr>
        <w:pStyle w:val="ListParagraph"/>
        <w:numPr>
          <w:ilvl w:val="0"/>
          <w:numId w:val="3"/>
        </w:numPr>
        <w:rPr>
          <w:color w:val="000000" w:themeColor="text1"/>
        </w:rPr>
      </w:pPr>
      <w:r>
        <w:rPr>
          <w:color w:val="000000" w:themeColor="text1"/>
        </w:rPr>
        <w:t>The Circle of Security Program</w:t>
      </w:r>
    </w:p>
    <w:p w:rsidR="006F056F" w:rsidRDefault="006F056F" w:rsidP="00E55BAE">
      <w:pPr>
        <w:pStyle w:val="ListParagraph"/>
        <w:numPr>
          <w:ilvl w:val="0"/>
          <w:numId w:val="3"/>
        </w:numPr>
        <w:rPr>
          <w:color w:val="000000" w:themeColor="text1"/>
        </w:rPr>
      </w:pPr>
      <w:proofErr w:type="spellStart"/>
      <w:r>
        <w:rPr>
          <w:color w:val="000000" w:themeColor="text1"/>
        </w:rPr>
        <w:t>Arbour</w:t>
      </w:r>
      <w:proofErr w:type="spellEnd"/>
      <w:r>
        <w:rPr>
          <w:color w:val="000000" w:themeColor="text1"/>
        </w:rPr>
        <w:t xml:space="preserve"> House (a crisis and stabilization home for youth 12-18)</w:t>
      </w:r>
    </w:p>
    <w:p w:rsidR="00E55BAE" w:rsidRDefault="00E55BAE" w:rsidP="00E55BAE">
      <w:pPr>
        <w:pStyle w:val="ListParagraph"/>
        <w:numPr>
          <w:ilvl w:val="0"/>
          <w:numId w:val="3"/>
        </w:numPr>
        <w:rPr>
          <w:color w:val="000000" w:themeColor="text1"/>
        </w:rPr>
      </w:pPr>
      <w:r>
        <w:rPr>
          <w:color w:val="000000" w:themeColor="text1"/>
        </w:rPr>
        <w:t xml:space="preserve">Mothers </w:t>
      </w:r>
      <w:proofErr w:type="gramStart"/>
      <w:r>
        <w:rPr>
          <w:color w:val="000000" w:themeColor="text1"/>
        </w:rPr>
        <w:t>In</w:t>
      </w:r>
      <w:proofErr w:type="gramEnd"/>
      <w:r>
        <w:rPr>
          <w:color w:val="000000" w:themeColor="text1"/>
        </w:rPr>
        <w:t xml:space="preserve"> Mind (2014-2016, re-applying for 2022)</w:t>
      </w:r>
    </w:p>
    <w:p w:rsidR="00E55BAE" w:rsidRDefault="00E55BAE" w:rsidP="00E55BAE">
      <w:pPr>
        <w:pStyle w:val="ListParagraph"/>
        <w:numPr>
          <w:ilvl w:val="0"/>
          <w:numId w:val="3"/>
        </w:numPr>
        <w:rPr>
          <w:color w:val="000000" w:themeColor="text1"/>
        </w:rPr>
      </w:pPr>
      <w:r>
        <w:rPr>
          <w:color w:val="000000" w:themeColor="text1"/>
        </w:rPr>
        <w:t>The F words for Family Focused Assessments in Early Intervention</w:t>
      </w:r>
    </w:p>
    <w:p w:rsidR="00E55BAE" w:rsidRDefault="00E55BAE" w:rsidP="00E55BAE">
      <w:pPr>
        <w:pStyle w:val="ListParagraph"/>
        <w:numPr>
          <w:ilvl w:val="0"/>
          <w:numId w:val="3"/>
        </w:numPr>
        <w:rPr>
          <w:color w:val="000000" w:themeColor="text1"/>
        </w:rPr>
      </w:pPr>
      <w:r>
        <w:rPr>
          <w:color w:val="000000" w:themeColor="text1"/>
        </w:rPr>
        <w:t>The ARC Framework</w:t>
      </w:r>
    </w:p>
    <w:p w:rsidR="00E55BAE" w:rsidRDefault="00E55BAE" w:rsidP="00E55BAE">
      <w:pPr>
        <w:pStyle w:val="ListParagraph"/>
        <w:numPr>
          <w:ilvl w:val="0"/>
          <w:numId w:val="3"/>
        </w:numPr>
        <w:rPr>
          <w:color w:val="000000" w:themeColor="text1"/>
        </w:rPr>
      </w:pPr>
      <w:r>
        <w:rPr>
          <w:color w:val="000000" w:themeColor="text1"/>
        </w:rPr>
        <w:t>Functional Family Therapy</w:t>
      </w:r>
    </w:p>
    <w:p w:rsidR="00E55BAE" w:rsidRDefault="00E55BAE" w:rsidP="00E55BAE">
      <w:pPr>
        <w:pStyle w:val="ListParagraph"/>
        <w:numPr>
          <w:ilvl w:val="0"/>
          <w:numId w:val="3"/>
        </w:numPr>
        <w:rPr>
          <w:color w:val="000000" w:themeColor="text1"/>
        </w:rPr>
      </w:pPr>
      <w:r>
        <w:rPr>
          <w:color w:val="000000" w:themeColor="text1"/>
        </w:rPr>
        <w:t>Zones of Regulation</w:t>
      </w:r>
    </w:p>
    <w:p w:rsidR="00E55BAE" w:rsidRDefault="00E55BAE" w:rsidP="00E55BAE">
      <w:pPr>
        <w:pStyle w:val="ListParagraph"/>
        <w:numPr>
          <w:ilvl w:val="0"/>
          <w:numId w:val="3"/>
        </w:numPr>
        <w:rPr>
          <w:color w:val="000000" w:themeColor="text1"/>
        </w:rPr>
      </w:pPr>
      <w:r>
        <w:rPr>
          <w:color w:val="000000" w:themeColor="text1"/>
        </w:rPr>
        <w:t>Triple P Parenting (in partnership with the local health unit)</w:t>
      </w:r>
    </w:p>
    <w:p w:rsidR="00E55BAE" w:rsidRDefault="00E55BAE" w:rsidP="00E55BAE">
      <w:pPr>
        <w:pStyle w:val="ListParagraph"/>
        <w:numPr>
          <w:ilvl w:val="0"/>
          <w:numId w:val="3"/>
        </w:numPr>
        <w:rPr>
          <w:color w:val="000000" w:themeColor="text1"/>
        </w:rPr>
      </w:pPr>
      <w:proofErr w:type="spellStart"/>
      <w:r>
        <w:rPr>
          <w:color w:val="000000" w:themeColor="text1"/>
        </w:rPr>
        <w:t>Neurosequential</w:t>
      </w:r>
      <w:proofErr w:type="spellEnd"/>
      <w:r>
        <w:rPr>
          <w:color w:val="000000" w:themeColor="text1"/>
        </w:rPr>
        <w:t xml:space="preserve"> Model of Brain Development Tools and Assessments</w:t>
      </w:r>
    </w:p>
    <w:p w:rsidR="00E55BAE" w:rsidRPr="00E55BAE" w:rsidRDefault="00E55BAE" w:rsidP="00E55BAE">
      <w:pPr>
        <w:pStyle w:val="ListParagraph"/>
        <w:numPr>
          <w:ilvl w:val="0"/>
          <w:numId w:val="3"/>
        </w:numPr>
        <w:rPr>
          <w:color w:val="000000" w:themeColor="text1"/>
        </w:rPr>
      </w:pPr>
      <w:r>
        <w:rPr>
          <w:color w:val="000000" w:themeColor="text1"/>
        </w:rPr>
        <w:t>Attachment Focused Parenting Training and Service Approaches</w:t>
      </w:r>
    </w:p>
    <w:p w:rsidR="00920259" w:rsidRDefault="00920259" w:rsidP="00256297">
      <w:pPr>
        <w:rPr>
          <w:color w:val="000000" w:themeColor="text1"/>
        </w:rPr>
      </w:pPr>
    </w:p>
    <w:p w:rsidR="00920259" w:rsidRDefault="00920259" w:rsidP="00256297">
      <w:pPr>
        <w:rPr>
          <w:color w:val="000000" w:themeColor="text1"/>
        </w:rPr>
      </w:pPr>
    </w:p>
    <w:p w:rsidR="004B6A12" w:rsidRDefault="004B6A12" w:rsidP="00256297">
      <w:pPr>
        <w:rPr>
          <w:color w:val="000000" w:themeColor="text1"/>
        </w:rPr>
      </w:pPr>
    </w:p>
    <w:p w:rsidR="0072265F" w:rsidRDefault="0072265F" w:rsidP="0072265F">
      <w:pPr>
        <w:pStyle w:val="Text"/>
        <w:jc w:val="center"/>
      </w:pPr>
      <w:r w:rsidRPr="00481008">
        <w:rPr>
          <w:rFonts w:ascii="Abadi" w:hAnsi="Abadi"/>
          <w:noProof/>
        </w:rPr>
        <w:drawing>
          <wp:anchor distT="0" distB="0" distL="114300" distR="114300" simplePos="0" relativeHeight="251699200" behindDoc="0" locked="0" layoutInCell="1" allowOverlap="1" wp14:anchorId="06607A12">
            <wp:simplePos x="0" y="0"/>
            <wp:positionH relativeFrom="margin">
              <wp:posOffset>433136</wp:posOffset>
            </wp:positionH>
            <wp:positionV relativeFrom="paragraph">
              <wp:posOffset>131578</wp:posOffset>
            </wp:positionV>
            <wp:extent cx="5821212" cy="3193582"/>
            <wp:effectExtent l="0" t="0" r="825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1212" cy="3193582"/>
                    </a:xfrm>
                    <a:prstGeom prst="rect">
                      <a:avLst/>
                    </a:prstGeom>
                  </pic:spPr>
                </pic:pic>
              </a:graphicData>
            </a:graphic>
            <wp14:sizeRelH relativeFrom="page">
              <wp14:pctWidth>0</wp14:pctWidth>
            </wp14:sizeRelH>
            <wp14:sizeRelV relativeFrom="page">
              <wp14:pctHeight>0</wp14:pctHeight>
            </wp14:sizeRelV>
          </wp:anchor>
        </w:drawing>
      </w:r>
    </w:p>
    <w:p w:rsidR="0072265F" w:rsidRDefault="0072265F" w:rsidP="00256297">
      <w:pPr>
        <w:rPr>
          <w:color w:val="000000" w:themeColor="text1"/>
        </w:rPr>
      </w:pPr>
    </w:p>
    <w:p w:rsidR="004B6A12" w:rsidRDefault="004B6A12" w:rsidP="00256297">
      <w:pPr>
        <w:rPr>
          <w:color w:val="000000" w:themeColor="text1"/>
        </w:rPr>
      </w:pPr>
    </w:p>
    <w:p w:rsidR="004B6A12" w:rsidRPr="00920259" w:rsidRDefault="004B6A12" w:rsidP="00256297">
      <w:pPr>
        <w:rPr>
          <w:color w:val="000000" w:themeColor="text1"/>
        </w:rPr>
        <w:sectPr w:rsidR="004B6A12" w:rsidRPr="00920259" w:rsidSect="00914E47">
          <w:pgSz w:w="12240" w:h="15840" w:code="1"/>
          <w:pgMar w:top="720" w:right="720" w:bottom="720" w:left="720" w:header="576" w:footer="576" w:gutter="0"/>
          <w:cols w:space="708"/>
          <w:titlePg/>
          <w:docGrid w:linePitch="360"/>
        </w:sectPr>
      </w:pPr>
    </w:p>
    <w:tbl>
      <w:tblPr>
        <w:tblStyle w:val="TableGrid"/>
        <w:tblpPr w:leftFromText="180" w:rightFromText="180" w:horzAnchor="page" w:tblpX="1" w:tblpY="1686"/>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899"/>
        <w:gridCol w:w="12142"/>
        <w:gridCol w:w="993"/>
      </w:tblGrid>
      <w:tr w:rsidR="006F40C6" w:rsidTr="00345C0B">
        <w:trPr>
          <w:trHeight w:val="3254"/>
        </w:trPr>
        <w:tc>
          <w:tcPr>
            <w:tcW w:w="899" w:type="dxa"/>
          </w:tcPr>
          <w:p w:rsidR="006F40C6" w:rsidRDefault="006F40C6" w:rsidP="00345C0B"/>
          <w:p w:rsidR="00345C0B" w:rsidRDefault="00345C0B" w:rsidP="00345C0B"/>
        </w:tc>
        <w:tc>
          <w:tcPr>
            <w:tcW w:w="12142" w:type="dxa"/>
            <w:shd w:val="clear" w:color="auto" w:fill="auto"/>
            <w:vAlign w:val="center"/>
          </w:tcPr>
          <w:p w:rsidR="006F40C6" w:rsidRPr="00ED3DEC" w:rsidRDefault="006F40C6" w:rsidP="00345C0B">
            <w:pPr>
              <w:pStyle w:val="Quote"/>
              <w:rPr>
                <w:sz w:val="28"/>
              </w:rPr>
            </w:pPr>
            <w:r w:rsidRPr="00ED3DEC">
              <w:rPr>
                <w:sz w:val="28"/>
              </w:rPr>
              <w:t>Strategic Directions and Priorities 2021-202</w:t>
            </w:r>
            <w:r w:rsidR="00ED3DEC">
              <w:rPr>
                <w:sz w:val="28"/>
              </w:rPr>
              <w:t>5</w:t>
            </w:r>
          </w:p>
        </w:tc>
        <w:tc>
          <w:tcPr>
            <w:tcW w:w="993" w:type="dxa"/>
          </w:tcPr>
          <w:p w:rsidR="006F40C6" w:rsidRPr="00AF4F54" w:rsidRDefault="006F40C6" w:rsidP="00345C0B"/>
        </w:tc>
      </w:tr>
    </w:tbl>
    <w:p w:rsidR="00345C0B" w:rsidRDefault="00345C0B" w:rsidP="00345C0B">
      <w:pPr>
        <w:rPr>
          <w:color w:val="000000" w:themeColor="text1"/>
        </w:rPr>
      </w:pPr>
      <w:r w:rsidRPr="006915D3">
        <w:rPr>
          <w:noProof/>
        </w:rPr>
        <w:drawing>
          <wp:anchor distT="0" distB="0" distL="114300" distR="114300" simplePos="0" relativeHeight="251700224" behindDoc="0" locked="0" layoutInCell="1" allowOverlap="1" wp14:anchorId="51763971">
            <wp:simplePos x="0" y="0"/>
            <wp:positionH relativeFrom="column">
              <wp:posOffset>-187492</wp:posOffset>
            </wp:positionH>
            <wp:positionV relativeFrom="paragraph">
              <wp:posOffset>1905300</wp:posOffset>
            </wp:positionV>
            <wp:extent cx="6858000" cy="388048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58000" cy="3880485"/>
                    </a:xfrm>
                    <a:prstGeom prst="rect">
                      <a:avLst/>
                    </a:prstGeom>
                  </pic:spPr>
                </pic:pic>
              </a:graphicData>
            </a:graphic>
            <wp14:sizeRelH relativeFrom="page">
              <wp14:pctWidth>0</wp14:pctWidth>
            </wp14:sizeRelH>
            <wp14:sizeRelV relativeFrom="page">
              <wp14:pctHeight>0</wp14:pctHeight>
            </wp14:sizeRelV>
          </wp:anchor>
        </w:drawing>
      </w:r>
      <w:r w:rsidRPr="00920259">
        <w:rPr>
          <w:b/>
          <w:color w:val="000000" w:themeColor="text1"/>
        </w:rPr>
        <w:t>Future</w:t>
      </w:r>
      <w:r>
        <w:rPr>
          <w:color w:val="000000" w:themeColor="text1"/>
        </w:rPr>
        <w:t xml:space="preserve">:  The Society is engaged in a number of projects that will unfold during the life of our current strategic plan which extends to 2025 including </w:t>
      </w:r>
      <w:r w:rsidRPr="00DD344D">
        <w:rPr>
          <w:i/>
          <w:color w:val="000000" w:themeColor="text1"/>
        </w:rPr>
        <w:t>Signs of Safety Implementation</w:t>
      </w:r>
      <w:r>
        <w:rPr>
          <w:color w:val="000000" w:themeColor="text1"/>
        </w:rPr>
        <w:t>, (currently in year 1, an evidence based Child Protection Service Framework</w:t>
      </w:r>
      <w:proofErr w:type="gramStart"/>
      <w:r>
        <w:rPr>
          <w:color w:val="000000" w:themeColor="text1"/>
        </w:rPr>
        <w:t xml:space="preserve">),  </w:t>
      </w:r>
      <w:r w:rsidRPr="00DD344D">
        <w:rPr>
          <w:i/>
          <w:color w:val="000000" w:themeColor="text1"/>
        </w:rPr>
        <w:t>Connect</w:t>
      </w:r>
      <w:proofErr w:type="gramEnd"/>
      <w:r w:rsidRPr="00DD344D">
        <w:rPr>
          <w:i/>
          <w:color w:val="000000" w:themeColor="text1"/>
        </w:rPr>
        <w:t xml:space="preserve"> your Rhythm</w:t>
      </w:r>
      <w:r>
        <w:rPr>
          <w:color w:val="000000" w:themeColor="text1"/>
        </w:rPr>
        <w:t xml:space="preserve"> (an internally </w:t>
      </w:r>
    </w:p>
    <w:p w:rsidR="00345C0B" w:rsidRDefault="00345C0B" w:rsidP="00345C0B">
      <w:pPr>
        <w:rPr>
          <w:color w:val="000000" w:themeColor="text1"/>
        </w:rPr>
      </w:pPr>
    </w:p>
    <w:p w:rsidR="00345C0B" w:rsidRDefault="00345C0B" w:rsidP="00345C0B">
      <w:pPr>
        <w:rPr>
          <w:color w:val="000000" w:themeColor="text1"/>
        </w:rPr>
      </w:pPr>
    </w:p>
    <w:p w:rsidR="00345C0B" w:rsidRDefault="00345C0B" w:rsidP="00345C0B">
      <w:pPr>
        <w:rPr>
          <w:color w:val="000000" w:themeColor="text1"/>
        </w:rPr>
      </w:pPr>
    </w:p>
    <w:p w:rsidR="00345C0B" w:rsidRDefault="00345C0B" w:rsidP="00345C0B">
      <w:pPr>
        <w:rPr>
          <w:color w:val="000000" w:themeColor="text1"/>
        </w:rPr>
      </w:pPr>
      <w:r>
        <w:rPr>
          <w:color w:val="000000" w:themeColor="text1"/>
        </w:rPr>
        <w:t xml:space="preserve">developed Infant Mental Health Screening and service delivery model using the Devereaux Early Childhood Assessment) and </w:t>
      </w:r>
      <w:r w:rsidRPr="00DD344D">
        <w:rPr>
          <w:color w:val="000000" w:themeColor="text1"/>
        </w:rPr>
        <w:t xml:space="preserve">Big Steps to Success </w:t>
      </w:r>
      <w:r>
        <w:rPr>
          <w:color w:val="000000" w:themeColor="text1"/>
        </w:rPr>
        <w:t>(</w:t>
      </w:r>
      <w:r w:rsidRPr="00DD344D">
        <w:rPr>
          <w:color w:val="000000" w:themeColor="text1"/>
        </w:rPr>
        <w:t>a mentorship program specifically designed for children and youth living in government care</w:t>
      </w:r>
      <w:r>
        <w:rPr>
          <w:color w:val="000000" w:themeColor="text1"/>
        </w:rPr>
        <w:t>).</w:t>
      </w:r>
    </w:p>
    <w:p w:rsidR="00256297" w:rsidRDefault="00345C0B">
      <w:r w:rsidRPr="000A1544">
        <w:rPr>
          <w:rFonts w:ascii="Abadi" w:hAnsi="Abadi"/>
          <w:noProof/>
        </w:rPr>
        <w:drawing>
          <wp:anchor distT="0" distB="0" distL="114300" distR="114300" simplePos="0" relativeHeight="251682816" behindDoc="0" locked="0" layoutInCell="1" allowOverlap="1" wp14:anchorId="1E42CC97">
            <wp:simplePos x="0" y="0"/>
            <wp:positionH relativeFrom="margin">
              <wp:posOffset>5070442</wp:posOffset>
            </wp:positionH>
            <wp:positionV relativeFrom="paragraph">
              <wp:posOffset>2164281</wp:posOffset>
            </wp:positionV>
            <wp:extent cx="1831727" cy="1840831"/>
            <wp:effectExtent l="0" t="0" r="0" b="7620"/>
            <wp:wrapNone/>
            <wp:docPr id="2" name="Picture 2" descr="https://www.parnipcas.org/wp-content/uploads/2021/02/Operational-Plan-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rnipcas.org/wp-content/uploads/2021/02/Operational-Plan-Englis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41" t="2827" r="2705" b="9096"/>
                    <a:stretch/>
                  </pic:blipFill>
                  <pic:spPr bwMode="auto">
                    <a:xfrm>
                      <a:off x="0" y="0"/>
                      <a:ext cx="1831727" cy="1840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997C771">
            <wp:simplePos x="0" y="0"/>
            <wp:positionH relativeFrom="margin">
              <wp:posOffset>-317834</wp:posOffset>
            </wp:positionH>
            <wp:positionV relativeFrom="paragraph">
              <wp:posOffset>2874679</wp:posOffset>
            </wp:positionV>
            <wp:extent cx="5248867" cy="2346459"/>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867" cy="2346459"/>
                    </a:xfrm>
                    <a:prstGeom prst="rect">
                      <a:avLst/>
                    </a:prstGeom>
                    <a:noFill/>
                  </pic:spPr>
                </pic:pic>
              </a:graphicData>
            </a:graphic>
            <wp14:sizeRelH relativeFrom="page">
              <wp14:pctWidth>0</wp14:pctWidth>
            </wp14:sizeRelH>
            <wp14:sizeRelV relativeFrom="page">
              <wp14:pctHeight>0</wp14:pctHeight>
            </wp14:sizeRelV>
          </wp:anchor>
        </w:drawing>
      </w:r>
    </w:p>
    <w:p w:rsidR="00914E47" w:rsidRDefault="00914E47" w:rsidP="004A0DED">
      <w:pPr>
        <w:jc w:val="center"/>
        <w:sectPr w:rsidR="00914E47" w:rsidSect="00ED3DEC">
          <w:pgSz w:w="12240" w:h="15840" w:code="1"/>
          <w:pgMar w:top="720" w:right="720" w:bottom="720" w:left="720" w:header="578" w:footer="578" w:gutter="0"/>
          <w:cols w:space="708"/>
          <w:titlePg/>
          <w:docGrid w:linePitch="360"/>
        </w:sectPr>
      </w:pPr>
    </w:p>
    <w:p w:rsidR="004A0DED" w:rsidRDefault="00496DB6" w:rsidP="002F6B2A">
      <w:pPr>
        <w:jc w:val="center"/>
      </w:pPr>
      <w:r>
        <w:rPr>
          <w:noProof/>
        </w:rPr>
        <w:lastRenderedPageBreak/>
        <mc:AlternateContent>
          <mc:Choice Requires="wps">
            <w:drawing>
              <wp:anchor distT="45720" distB="45720" distL="114300" distR="114300" simplePos="0" relativeHeight="251665408" behindDoc="0" locked="0" layoutInCell="1" allowOverlap="1" wp14:anchorId="25262915" wp14:editId="14E2CCB8">
                <wp:simplePos x="0" y="0"/>
                <wp:positionH relativeFrom="column">
                  <wp:posOffset>-266700</wp:posOffset>
                </wp:positionH>
                <wp:positionV relativeFrom="paragraph">
                  <wp:posOffset>-125186</wp:posOffset>
                </wp:positionV>
                <wp:extent cx="6438900"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57200"/>
                        </a:xfrm>
                        <a:prstGeom prst="rect">
                          <a:avLst/>
                        </a:prstGeom>
                        <a:solidFill>
                          <a:srgbClr val="FFFFFF"/>
                        </a:solidFill>
                        <a:ln w="9525">
                          <a:noFill/>
                          <a:miter lim="800000"/>
                          <a:headEnd/>
                          <a:tailEnd/>
                        </a:ln>
                      </wps:spPr>
                      <wps:txbx>
                        <w:txbxContent>
                          <w:p w:rsidR="00DD344D" w:rsidRDefault="00DD344D" w:rsidP="00496DB6">
                            <w:pPr>
                              <w:pStyle w:val="Heading3"/>
                            </w:pPr>
                            <w:r>
                              <w:t>Strategic Commitments, Key Activities, Targets and Mitigation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62915" id="_x0000_s1028" type="#_x0000_t202" style="position:absolute;left:0;text-align:left;margin-left:-21pt;margin-top:-9.85pt;width:507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" stroked="f">
                <v:textbox>
                  <w:txbxContent>
                    <w:p w:rsidR="00DD344D" w:rsidRDefault="00DD344D" w:rsidP="00496DB6">
                      <w:pPr>
                        <w:pStyle w:val="Heading3"/>
                      </w:pPr>
                      <w:r>
                        <w:t>Strategic Commitments, Key Activities, Targets and Mitigation Plans</w:t>
                      </w:r>
                    </w:p>
                  </w:txbxContent>
                </v:textbox>
              </v:shape>
            </w:pict>
          </mc:Fallback>
        </mc:AlternateContent>
      </w:r>
    </w:p>
    <w:p w:rsidR="002F6B2A" w:rsidRDefault="002F6B2A" w:rsidP="002F6B2A">
      <w:pPr>
        <w:jc w:val="center"/>
      </w:pPr>
    </w:p>
    <w:p w:rsidR="00ED3DEC" w:rsidRDefault="00ED3DEC" w:rsidP="002F6B2A">
      <w:pPr>
        <w:jc w:val="center"/>
      </w:pPr>
    </w:p>
    <w:tbl>
      <w:tblPr>
        <w:tblW w:w="19992" w:type="dxa"/>
        <w:tblInd w:w="-572" w:type="dxa"/>
        <w:tblLook w:val="04A0" w:firstRow="1" w:lastRow="0" w:firstColumn="1" w:lastColumn="0" w:noHBand="0" w:noVBand="1"/>
      </w:tblPr>
      <w:tblGrid>
        <w:gridCol w:w="2011"/>
        <w:gridCol w:w="1497"/>
        <w:gridCol w:w="4751"/>
        <w:gridCol w:w="2918"/>
        <w:gridCol w:w="1827"/>
        <w:gridCol w:w="1407"/>
        <w:gridCol w:w="1133"/>
        <w:gridCol w:w="3187"/>
        <w:gridCol w:w="1261"/>
      </w:tblGrid>
      <w:tr w:rsidR="00ED3DEC" w:rsidRPr="00ED3DEC" w:rsidTr="00ED3DEC">
        <w:trPr>
          <w:trHeight w:val="515"/>
        </w:trPr>
        <w:tc>
          <w:tcPr>
            <w:tcW w:w="2011" w:type="dxa"/>
            <w:tcBorders>
              <w:top w:val="single" w:sz="4" w:space="0" w:color="auto"/>
              <w:left w:val="single" w:sz="4" w:space="0" w:color="auto"/>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bookmarkStart w:id="0" w:name="RANGE!A1:J28"/>
            <w:r w:rsidRPr="00ED3DEC">
              <w:rPr>
                <w:rFonts w:ascii="Arial Narrow" w:eastAsia="Times New Roman" w:hAnsi="Arial Narrow" w:cs="Calibri"/>
                <w:b/>
                <w:bCs/>
                <w:color w:val="000000"/>
                <w:sz w:val="20"/>
                <w:szCs w:val="20"/>
                <w:lang w:val="en-CA" w:eastAsia="en-CA"/>
              </w:rPr>
              <w:t>Strategic Priority</w:t>
            </w:r>
            <w:bookmarkEnd w:id="0"/>
          </w:p>
        </w:tc>
        <w:tc>
          <w:tcPr>
            <w:tcW w:w="1497"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Commitments</w:t>
            </w:r>
          </w:p>
        </w:tc>
        <w:tc>
          <w:tcPr>
            <w:tcW w:w="4751"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Objective/Goal</w:t>
            </w:r>
          </w:p>
        </w:tc>
        <w:tc>
          <w:tcPr>
            <w:tcW w:w="2918"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Project and/or Committee that Supports the Goal</w:t>
            </w:r>
          </w:p>
        </w:tc>
        <w:tc>
          <w:tcPr>
            <w:tcW w:w="1827"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Person(s) Responsible</w:t>
            </w:r>
          </w:p>
        </w:tc>
        <w:tc>
          <w:tcPr>
            <w:tcW w:w="1407"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Reports To</w:t>
            </w:r>
          </w:p>
        </w:tc>
        <w:tc>
          <w:tcPr>
            <w:tcW w:w="1133"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Time Line for Completion</w:t>
            </w:r>
          </w:p>
        </w:tc>
        <w:tc>
          <w:tcPr>
            <w:tcW w:w="3187" w:type="dxa"/>
            <w:tcBorders>
              <w:top w:val="single" w:sz="4" w:space="0" w:color="auto"/>
              <w:left w:val="nil"/>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Mitigation Plan (MP)</w:t>
            </w:r>
          </w:p>
        </w:tc>
        <w:tc>
          <w:tcPr>
            <w:tcW w:w="1261" w:type="dxa"/>
            <w:tcBorders>
              <w:top w:val="single" w:sz="4" w:space="0" w:color="auto"/>
              <w:left w:val="single" w:sz="4" w:space="0" w:color="auto"/>
              <w:bottom w:val="single" w:sz="4" w:space="0" w:color="auto"/>
              <w:right w:val="single" w:sz="4" w:space="0" w:color="auto"/>
            </w:tcBorders>
            <w:shd w:val="clear" w:color="000000" w:fill="D0CECE"/>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Q1 Baseline</w:t>
            </w:r>
          </w:p>
        </w:tc>
      </w:tr>
      <w:tr w:rsidR="00ED3DEC" w:rsidRPr="00ED3DEC" w:rsidTr="00ED3DEC">
        <w:trPr>
          <w:trHeight w:val="772"/>
        </w:trPr>
        <w:tc>
          <w:tcPr>
            <w:tcW w:w="2011" w:type="dxa"/>
            <w:vMerge w:val="restart"/>
            <w:tcBorders>
              <w:top w:val="nil"/>
              <w:left w:val="single" w:sz="4" w:space="0" w:color="auto"/>
              <w:bottom w:val="single" w:sz="4" w:space="0" w:color="000000"/>
              <w:right w:val="single" w:sz="4" w:space="0" w:color="auto"/>
            </w:tcBorders>
            <w:shd w:val="clear" w:color="auto" w:fill="auto"/>
            <w:vAlign w:val="center"/>
            <w:hideMark/>
          </w:tcPr>
          <w:p w:rsidR="00ED3DEC" w:rsidRPr="00ED3DEC" w:rsidRDefault="00ED3DEC" w:rsidP="00ED3DEC">
            <w:pPr>
              <w:jc w:val="cente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Health and Wellness</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Health and well-being</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Efficiently action the recommendations and report findings from the Wellness Committee regarding the bi-annual staff wellness survey</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Wellness Committee, QA, Sr. </w:t>
            </w:r>
            <w:proofErr w:type="spellStart"/>
            <w:r w:rsidRPr="00ED3DEC">
              <w:rPr>
                <w:rFonts w:ascii="Arial Narrow" w:eastAsia="Times New Roman" w:hAnsi="Arial Narrow" w:cs="Calibri"/>
                <w:color w:val="000000"/>
                <w:sz w:val="20"/>
                <w:szCs w:val="20"/>
                <w:lang w:val="en-CA" w:eastAsia="en-CA"/>
              </w:rPr>
              <w:t>Mgmt</w:t>
            </w:r>
            <w:proofErr w:type="spellEnd"/>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Wellness committee</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Bi-Annually</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Mitigation revolves around man power and uptake, alternative committee could assist in ownership, man power could be divested internally.</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15%</w:t>
            </w:r>
          </w:p>
        </w:tc>
      </w:tr>
      <w:tr w:rsidR="00ED3DEC" w:rsidRPr="00ED3DEC" w:rsidTr="00ED3DEC">
        <w:trPr>
          <w:trHeight w:val="772"/>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Health and well-being</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Prioritize inclusivity and innovation for wellness through existing and new committees, initiatives, and partnerships.</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Anti-Oppression Committee, Wellness Committee</w:t>
            </w:r>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Human Resources, Equity Lead.</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Cost drivers may impact hiring of equity lead and what can be adopted as a new program. No MP in deficit year.</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20%</w:t>
            </w:r>
          </w:p>
        </w:tc>
      </w:tr>
      <w:tr w:rsidR="00ED3DEC" w:rsidRPr="00ED3DEC" w:rsidTr="00ED3DEC">
        <w:trPr>
          <w:trHeight w:val="515"/>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Leadership</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Use existing leadership integration captured through Performance appraisals to facilitate succession planning conversations</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Human Resources/QA/Sr </w:t>
            </w:r>
            <w:proofErr w:type="spellStart"/>
            <w:r w:rsidRPr="00ED3DEC">
              <w:rPr>
                <w:rFonts w:ascii="Arial Narrow" w:eastAsia="Times New Roman" w:hAnsi="Arial Narrow" w:cs="Calibri"/>
                <w:color w:val="000000"/>
                <w:sz w:val="20"/>
                <w:szCs w:val="20"/>
                <w:lang w:val="en-CA" w:eastAsia="en-CA"/>
              </w:rPr>
              <w:t>Mgmt</w:t>
            </w:r>
            <w:proofErr w:type="spellEnd"/>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HR Coordinator/QA</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Yearly</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Consistent completion of Performance appraisals required, Performance related mitigation plan.</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15%</w:t>
            </w:r>
          </w:p>
        </w:tc>
      </w:tr>
      <w:tr w:rsidR="00ED3DEC" w:rsidRPr="00ED3DEC" w:rsidTr="00ED3DEC">
        <w:trPr>
          <w:trHeight w:val="515"/>
        </w:trPr>
        <w:tc>
          <w:tcPr>
            <w:tcW w:w="2011" w:type="dxa"/>
            <w:vMerge w:val="restart"/>
            <w:tcBorders>
              <w:top w:val="nil"/>
              <w:left w:val="single" w:sz="4" w:space="0" w:color="auto"/>
              <w:bottom w:val="single" w:sz="4" w:space="0" w:color="000000"/>
              <w:right w:val="single" w:sz="4" w:space="0" w:color="auto"/>
            </w:tcBorders>
            <w:shd w:val="clear" w:color="000000" w:fill="E7E6E6"/>
            <w:vAlign w:val="center"/>
            <w:hideMark/>
          </w:tcPr>
          <w:p w:rsidR="00ED3DEC" w:rsidRPr="00ED3DEC" w:rsidRDefault="00ED3DEC" w:rsidP="00ED3DEC">
            <w:pPr>
              <w:jc w:val="cente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Actioning Truth and Reconciliation</w:t>
            </w:r>
          </w:p>
        </w:tc>
        <w:tc>
          <w:tcPr>
            <w:tcW w:w="1497" w:type="dxa"/>
            <w:tcBorders>
              <w:top w:val="nil"/>
              <w:left w:val="nil"/>
              <w:bottom w:val="nil"/>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proofErr w:type="spellStart"/>
            <w:r w:rsidRPr="00ED3DEC">
              <w:rPr>
                <w:rFonts w:ascii="Arial Narrow" w:eastAsia="Times New Roman" w:hAnsi="Arial Narrow" w:cs="Calibri"/>
                <w:b/>
                <w:bCs/>
                <w:color w:val="000000"/>
                <w:sz w:val="20"/>
                <w:szCs w:val="20"/>
                <w:lang w:val="en-CA" w:eastAsia="en-CA"/>
              </w:rPr>
              <w:t>Niijaansaanik</w:t>
            </w:r>
            <w:proofErr w:type="spellEnd"/>
          </w:p>
        </w:tc>
        <w:tc>
          <w:tcPr>
            <w:tcW w:w="475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Through </w:t>
            </w:r>
            <w:proofErr w:type="spellStart"/>
            <w:r w:rsidRPr="00ED3DEC">
              <w:rPr>
                <w:rFonts w:ascii="Arial Narrow" w:eastAsia="Times New Roman" w:hAnsi="Arial Narrow" w:cs="Calibri"/>
                <w:color w:val="000000"/>
                <w:sz w:val="20"/>
                <w:szCs w:val="20"/>
                <w:lang w:val="en-CA" w:eastAsia="en-CA"/>
              </w:rPr>
              <w:t>Niijaansinaanik’s</w:t>
            </w:r>
            <w:proofErr w:type="spellEnd"/>
            <w:r w:rsidRPr="00ED3DEC">
              <w:rPr>
                <w:rFonts w:ascii="Arial Narrow" w:eastAsia="Times New Roman" w:hAnsi="Arial Narrow" w:cs="Calibri"/>
                <w:color w:val="000000"/>
                <w:sz w:val="20"/>
                <w:szCs w:val="20"/>
                <w:lang w:val="en-CA" w:eastAsia="en-CA"/>
              </w:rPr>
              <w:t xml:space="preserve"> leadership we will continue to work alongside their agency by being a responsive and supportive partner. </w:t>
            </w:r>
          </w:p>
        </w:tc>
        <w:tc>
          <w:tcPr>
            <w:tcW w:w="2918"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Designation Committees and Secondment Supervisors</w:t>
            </w:r>
          </w:p>
        </w:tc>
        <w:tc>
          <w:tcPr>
            <w:tcW w:w="182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 and Senior Managers</w:t>
            </w:r>
          </w:p>
        </w:tc>
        <w:tc>
          <w:tcPr>
            <w:tcW w:w="140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Essential requirement, no MP required.</w:t>
            </w:r>
          </w:p>
        </w:tc>
        <w:tc>
          <w:tcPr>
            <w:tcW w:w="126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75%</w:t>
            </w:r>
          </w:p>
        </w:tc>
      </w:tr>
      <w:tr w:rsidR="00ED3DEC" w:rsidRPr="00ED3DEC" w:rsidTr="00ED3DEC">
        <w:trPr>
          <w:trHeight w:val="515"/>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single" w:sz="4" w:space="0" w:color="auto"/>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Prioritizing Change</w:t>
            </w:r>
          </w:p>
        </w:tc>
        <w:tc>
          <w:tcPr>
            <w:tcW w:w="475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Continue to action and realize the commitments outlined by FNIM communities and OACAS. </w:t>
            </w:r>
          </w:p>
        </w:tc>
        <w:tc>
          <w:tcPr>
            <w:tcW w:w="2918"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 Anti-Oppressions Committee and Truth and Reconciliation sub-committee</w:t>
            </w:r>
          </w:p>
        </w:tc>
        <w:tc>
          <w:tcPr>
            <w:tcW w:w="182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40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Essential requirement, no MP required.</w:t>
            </w:r>
          </w:p>
        </w:tc>
        <w:tc>
          <w:tcPr>
            <w:tcW w:w="126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75%</w:t>
            </w:r>
          </w:p>
        </w:tc>
      </w:tr>
      <w:tr w:rsidR="00ED3DEC" w:rsidRPr="00ED3DEC" w:rsidTr="00ED3DEC">
        <w:trPr>
          <w:trHeight w:val="515"/>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Partnerships</w:t>
            </w:r>
          </w:p>
        </w:tc>
        <w:tc>
          <w:tcPr>
            <w:tcW w:w="475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Strengthening our relationships and collaboration with the local FNMI Communities. </w:t>
            </w:r>
          </w:p>
        </w:tc>
        <w:tc>
          <w:tcPr>
            <w:tcW w:w="2918"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Truth and Reconciliation Committee</w:t>
            </w:r>
          </w:p>
        </w:tc>
        <w:tc>
          <w:tcPr>
            <w:tcW w:w="182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40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Essential requirement, no MP required.</w:t>
            </w:r>
          </w:p>
        </w:tc>
        <w:tc>
          <w:tcPr>
            <w:tcW w:w="126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1029"/>
        </w:trPr>
        <w:tc>
          <w:tcPr>
            <w:tcW w:w="2011" w:type="dxa"/>
            <w:vMerge w:val="restart"/>
            <w:tcBorders>
              <w:top w:val="nil"/>
              <w:left w:val="single" w:sz="4" w:space="0" w:color="auto"/>
              <w:bottom w:val="single" w:sz="4" w:space="0" w:color="000000"/>
              <w:right w:val="single" w:sz="4" w:space="0" w:color="auto"/>
            </w:tcBorders>
            <w:shd w:val="clear" w:color="auto" w:fill="auto"/>
            <w:vAlign w:val="center"/>
            <w:hideMark/>
          </w:tcPr>
          <w:p w:rsidR="00ED3DEC" w:rsidRPr="00ED3DEC" w:rsidRDefault="00ED3DEC" w:rsidP="00ED3DEC">
            <w:pPr>
              <w:jc w:val="cente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Cultivating a modern service system</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Advocacy</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Strengthening our position as a leader, ensuring we are at the key tables to influence decisions and advocate on behalf of the children, youth and families we serve.</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Provincial Committee representation: Provincial Executive Leadership Representation, Directors of Service, Finance Directors, Quality Assurance Provincial Network, Provincial Resource Working Group</w:t>
            </w:r>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 and Senior Managers</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Consider requesting non-management support as a leadership Segway if management staffing becomes too lean</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772"/>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Partnerships</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Continue to prioritize partnerships with community organizations that increase alignment, coordination, collaboration and integration. </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Participation on community planning tables such as CYMH, HUB, Data Collaborative, CSP, CYAC, </w:t>
            </w:r>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Consider requesting non-management support as a leadership Segway if management staffing becomes too lean</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75%</w:t>
            </w:r>
          </w:p>
        </w:tc>
      </w:tr>
      <w:tr w:rsidR="00ED3DEC" w:rsidRPr="00ED3DEC" w:rsidTr="00ED3DEC">
        <w:trPr>
          <w:trHeight w:val="772"/>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Anti-Oppression</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Celebrate diversity and integrate anti-oppression practices by operationalizing the agency's equity workplan </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Anti-Oppression Committee, French Language Committee</w:t>
            </w:r>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Chairs of respective committees</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Service</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time</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515"/>
        </w:trPr>
        <w:tc>
          <w:tcPr>
            <w:tcW w:w="2011" w:type="dxa"/>
            <w:vMerge w:val="restart"/>
            <w:tcBorders>
              <w:top w:val="nil"/>
              <w:left w:val="single" w:sz="4" w:space="0" w:color="auto"/>
              <w:bottom w:val="single" w:sz="4" w:space="0" w:color="000000"/>
              <w:right w:val="single" w:sz="4" w:space="0" w:color="auto"/>
            </w:tcBorders>
            <w:shd w:val="clear" w:color="000000" w:fill="E7E6E6"/>
            <w:vAlign w:val="center"/>
            <w:hideMark/>
          </w:tcPr>
          <w:p w:rsidR="00ED3DEC" w:rsidRPr="00ED3DEC" w:rsidRDefault="00ED3DEC" w:rsidP="00ED3DEC">
            <w:pPr>
              <w:jc w:val="cente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Driving Targeted and Strategic Communications</w:t>
            </w:r>
          </w:p>
        </w:tc>
        <w:tc>
          <w:tcPr>
            <w:tcW w:w="149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Communication Strategy</w:t>
            </w:r>
          </w:p>
        </w:tc>
        <w:tc>
          <w:tcPr>
            <w:tcW w:w="475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Regular review of agency communication workplan to improve and enhance dialogue internally and externally</w:t>
            </w:r>
          </w:p>
        </w:tc>
        <w:tc>
          <w:tcPr>
            <w:tcW w:w="2918"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Sr. </w:t>
            </w:r>
            <w:proofErr w:type="spellStart"/>
            <w:r w:rsidRPr="00ED3DEC">
              <w:rPr>
                <w:rFonts w:ascii="Arial Narrow" w:eastAsia="Times New Roman" w:hAnsi="Arial Narrow" w:cs="Calibri"/>
                <w:color w:val="000000"/>
                <w:sz w:val="20"/>
                <w:szCs w:val="20"/>
                <w:lang w:val="en-CA" w:eastAsia="en-CA"/>
              </w:rPr>
              <w:t>Mgmt</w:t>
            </w:r>
            <w:proofErr w:type="spellEnd"/>
          </w:p>
        </w:tc>
        <w:tc>
          <w:tcPr>
            <w:tcW w:w="182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Communications Facilitator</w:t>
            </w:r>
          </w:p>
        </w:tc>
        <w:tc>
          <w:tcPr>
            <w:tcW w:w="140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w:t>
            </w:r>
          </w:p>
        </w:tc>
        <w:tc>
          <w:tcPr>
            <w:tcW w:w="318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External Communication Supports</w:t>
            </w:r>
          </w:p>
        </w:tc>
        <w:tc>
          <w:tcPr>
            <w:tcW w:w="126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515"/>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Impact and Awareness</w:t>
            </w:r>
          </w:p>
        </w:tc>
        <w:tc>
          <w:tcPr>
            <w:tcW w:w="475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Prioritize reducing the stigma of child welfare through outreach activities that promote awareness of the agency's mission, vision and values.</w:t>
            </w:r>
          </w:p>
        </w:tc>
        <w:tc>
          <w:tcPr>
            <w:tcW w:w="2918"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Itty bitty kindness committee</w:t>
            </w:r>
          </w:p>
        </w:tc>
        <w:tc>
          <w:tcPr>
            <w:tcW w:w="182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Communications Facilitator</w:t>
            </w:r>
          </w:p>
        </w:tc>
        <w:tc>
          <w:tcPr>
            <w:tcW w:w="140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External Communication Supports</w:t>
            </w:r>
          </w:p>
        </w:tc>
        <w:tc>
          <w:tcPr>
            <w:tcW w:w="126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515"/>
        </w:trPr>
        <w:tc>
          <w:tcPr>
            <w:tcW w:w="2011" w:type="dxa"/>
            <w:vMerge/>
            <w:tcBorders>
              <w:top w:val="nil"/>
              <w:left w:val="single" w:sz="4" w:space="0" w:color="auto"/>
              <w:bottom w:val="single" w:sz="4" w:space="0" w:color="000000"/>
              <w:right w:val="single" w:sz="4" w:space="0" w:color="auto"/>
            </w:tcBorders>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p>
        </w:tc>
        <w:tc>
          <w:tcPr>
            <w:tcW w:w="149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b/>
                <w:bCs/>
                <w:color w:val="000000"/>
                <w:sz w:val="20"/>
                <w:szCs w:val="20"/>
                <w:lang w:val="en-CA" w:eastAsia="en-CA"/>
              </w:rPr>
            </w:pPr>
            <w:r w:rsidRPr="00ED3DEC">
              <w:rPr>
                <w:rFonts w:ascii="Arial Narrow" w:eastAsia="Times New Roman" w:hAnsi="Arial Narrow" w:cs="Calibri"/>
                <w:b/>
                <w:bCs/>
                <w:color w:val="000000"/>
                <w:sz w:val="20"/>
                <w:szCs w:val="20"/>
                <w:lang w:val="en-CA" w:eastAsia="en-CA"/>
              </w:rPr>
              <w:t>Impact and Awareness</w:t>
            </w:r>
          </w:p>
        </w:tc>
        <w:tc>
          <w:tcPr>
            <w:tcW w:w="475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Building stronger connections across departments levels and location, bringing staff together under a common mission and vision. </w:t>
            </w:r>
          </w:p>
        </w:tc>
        <w:tc>
          <w:tcPr>
            <w:tcW w:w="2918"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82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Communications Facilitator</w:t>
            </w:r>
          </w:p>
        </w:tc>
        <w:tc>
          <w:tcPr>
            <w:tcW w:w="140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Internal Committee Assistance</w:t>
            </w:r>
          </w:p>
        </w:tc>
        <w:tc>
          <w:tcPr>
            <w:tcW w:w="1261" w:type="dxa"/>
            <w:tcBorders>
              <w:top w:val="nil"/>
              <w:left w:val="nil"/>
              <w:bottom w:val="single" w:sz="4" w:space="0" w:color="auto"/>
              <w:right w:val="single" w:sz="4" w:space="0" w:color="auto"/>
            </w:tcBorders>
            <w:shd w:val="clear" w:color="000000" w:fill="E7E6E6"/>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20%</w:t>
            </w:r>
          </w:p>
        </w:tc>
      </w:tr>
      <w:tr w:rsidR="00ED3DEC" w:rsidRPr="00ED3DEC" w:rsidTr="00ED3DEC">
        <w:trPr>
          <w:trHeight w:val="772"/>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jc w:val="cente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Leading with Excellence and Innovation</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Fiscal Prudence</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Finance to review service and staffing trends at senior management through regular review of Finance Workplan. </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Sr. </w:t>
            </w:r>
            <w:proofErr w:type="spellStart"/>
            <w:r w:rsidRPr="00ED3DEC">
              <w:rPr>
                <w:rFonts w:ascii="Arial Narrow" w:eastAsia="Times New Roman" w:hAnsi="Arial Narrow" w:cs="Calibri"/>
                <w:color w:val="000000"/>
                <w:sz w:val="20"/>
                <w:szCs w:val="20"/>
                <w:lang w:val="en-CA" w:eastAsia="en-CA"/>
              </w:rPr>
              <w:t>Mgmt</w:t>
            </w:r>
            <w:proofErr w:type="spellEnd"/>
            <w:r w:rsidRPr="00ED3DEC">
              <w:rPr>
                <w:rFonts w:ascii="Arial Narrow" w:eastAsia="Times New Roman" w:hAnsi="Arial Narrow" w:cs="Calibri"/>
                <w:color w:val="000000"/>
                <w:sz w:val="20"/>
                <w:szCs w:val="20"/>
                <w:lang w:val="en-CA" w:eastAsia="en-CA"/>
              </w:rPr>
              <w:t>, Finance</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Finance Manager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Monthly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Shared Services or External Agency Support</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772"/>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Fiscal Prudence</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 review of available federal and provincial benefits and subsidies to ensure we maximize government entitlements</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Finance</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Finance Manager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Shared Services or External Agency Support</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772"/>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Fiscal Prudence</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Modernize finance integration within agency through operationalizing the finance workplan</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Finance</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Finance Manager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Shared Services or External Agency Support</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1286"/>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Training and Professional Development</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Integrate PA data across departments in order to identify priorities and leadership opportunities.</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Human Resources, Service, Finance</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Training Coordinator/ Director of Service/ Finance Manager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Yearly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and Supervisor time</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849"/>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Training and Professional Development</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Whole system implementation of the signs of safety framework across the agency.</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Signs of Safety Committees</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Project Coordinator </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Service</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3 years</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and SOS leads time</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15%</w:t>
            </w:r>
          </w:p>
        </w:tc>
      </w:tr>
      <w:tr w:rsidR="00ED3DEC" w:rsidRPr="00ED3DEC" w:rsidTr="00ED3DEC">
        <w:trPr>
          <w:trHeight w:val="515"/>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nil"/>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Accountability</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Complete probationary, annual and transfer performance appraisals when specified.</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Human Resources</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Yearly</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Performance Mitigation Plan</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515"/>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Accountability</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Actioning compliance opportunities to ensure high quality service standards through regular review and analysis of compliance/service data.</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auto"/>
                <w:sz w:val="20"/>
                <w:szCs w:val="20"/>
                <w:lang w:val="en-CA" w:eastAsia="en-CA"/>
              </w:rPr>
            </w:pPr>
            <w:r w:rsidRPr="00ED3DEC">
              <w:rPr>
                <w:rFonts w:ascii="Arial Narrow" w:eastAsia="Times New Roman" w:hAnsi="Arial Narrow" w:cs="Calibri"/>
                <w:color w:val="auto"/>
                <w:sz w:val="20"/>
                <w:szCs w:val="20"/>
                <w:lang w:val="en-CA" w:eastAsia="en-CA"/>
              </w:rPr>
              <w:t xml:space="preserve">QA, Sr </w:t>
            </w:r>
            <w:proofErr w:type="spellStart"/>
            <w:r w:rsidRPr="00ED3DEC">
              <w:rPr>
                <w:rFonts w:ascii="Arial Narrow" w:eastAsia="Times New Roman" w:hAnsi="Arial Narrow" w:cs="Calibri"/>
                <w:color w:val="auto"/>
                <w:sz w:val="20"/>
                <w:szCs w:val="20"/>
                <w:lang w:val="en-CA" w:eastAsia="en-CA"/>
              </w:rPr>
              <w:t>Mgmt</w:t>
            </w:r>
            <w:proofErr w:type="spellEnd"/>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Monthly</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and QA priorities</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50%</w:t>
            </w:r>
          </w:p>
        </w:tc>
      </w:tr>
      <w:tr w:rsidR="00ED3DEC" w:rsidRPr="00ED3DEC" w:rsidTr="00ED3DEC">
        <w:trPr>
          <w:trHeight w:val="772"/>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Accountability</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Formalized feedback process for each service area within the organization including the voice of all stakeholders (staff and service recipients)</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 All Departments</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 QA Supervisor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Yearly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Shared Services or External Agency Support</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566"/>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Leading with Innovation</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Continue to build on community integration, connection and prevention </w:t>
            </w:r>
          </w:p>
        </w:tc>
        <w:tc>
          <w:tcPr>
            <w:tcW w:w="2918"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auto"/>
                <w:sz w:val="20"/>
                <w:szCs w:val="20"/>
                <w:lang w:val="en-CA" w:eastAsia="en-CA"/>
              </w:rPr>
            </w:pPr>
            <w:r w:rsidRPr="00ED3DEC">
              <w:rPr>
                <w:rFonts w:ascii="Arial Narrow" w:eastAsia="Times New Roman" w:hAnsi="Arial Narrow" w:cs="Calibri"/>
                <w:color w:val="auto"/>
                <w:sz w:val="20"/>
                <w:szCs w:val="20"/>
                <w:lang w:val="en-CA" w:eastAsia="en-CA"/>
              </w:rPr>
              <w:t>Beauchamp Hub, CYMH Priorities, Community Safety and well being plan, Child welfare Redesign</w:t>
            </w:r>
          </w:p>
        </w:tc>
        <w:tc>
          <w:tcPr>
            <w:tcW w:w="182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Project Facilitator </w:t>
            </w:r>
          </w:p>
        </w:tc>
        <w:tc>
          <w:tcPr>
            <w:tcW w:w="140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133"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w:t>
            </w:r>
          </w:p>
        </w:tc>
        <w:tc>
          <w:tcPr>
            <w:tcW w:w="3187"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and Facilitator time</w:t>
            </w:r>
          </w:p>
        </w:tc>
        <w:tc>
          <w:tcPr>
            <w:tcW w:w="126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75%</w:t>
            </w:r>
          </w:p>
        </w:tc>
      </w:tr>
      <w:tr w:rsidR="00ED3DEC" w:rsidRPr="00ED3DEC" w:rsidTr="00ED3DEC">
        <w:trPr>
          <w:trHeight w:val="566"/>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Leading with Innovation</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Integrate research and evidence into practice through innovative service solutions. </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Protection, Child Care, Resource</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 and Workers</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Service</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Supervisor time</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1029"/>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Leading with Innovation</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Continue to develop and enhance Kin/kith Services (finding, supporting, financial)</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All departments</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Service, Kin Service Supervisor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Yearly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Re-align staff responsibilities wherever possible</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772"/>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lastRenderedPageBreak/>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Leading with Innovation</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Changes to programming and/or practice will be structured through a formalized CQI process </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 Supervisors</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Time</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0%</w:t>
            </w:r>
          </w:p>
        </w:tc>
      </w:tr>
      <w:tr w:rsidR="00ED3DEC" w:rsidRPr="00ED3DEC" w:rsidTr="00ED3DEC">
        <w:trPr>
          <w:trHeight w:val="772"/>
        </w:trPr>
        <w:tc>
          <w:tcPr>
            <w:tcW w:w="2011" w:type="dxa"/>
            <w:tcBorders>
              <w:top w:val="nil"/>
              <w:left w:val="single" w:sz="4" w:space="0" w:color="auto"/>
              <w:bottom w:val="nil"/>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Leading with Innovation</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 workplan to be reviewed regularly at Senior Management</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QA Supervisor</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Quarterly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Re-Prioritization of Director Time</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r w:rsidR="00ED3DEC" w:rsidRPr="00ED3DEC" w:rsidTr="00ED3DEC">
        <w:trPr>
          <w:trHeight w:val="566"/>
        </w:trPr>
        <w:tc>
          <w:tcPr>
            <w:tcW w:w="2011" w:type="dxa"/>
            <w:tcBorders>
              <w:top w:val="nil"/>
              <w:left w:val="single" w:sz="4" w:space="0" w:color="auto"/>
              <w:bottom w:val="nil"/>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nil"/>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Leading with Innovation</w:t>
            </w:r>
          </w:p>
        </w:tc>
        <w:tc>
          <w:tcPr>
            <w:tcW w:w="475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Prioritize a clear and integrated clinical strategy for the agency to reduce OPR/OPI placements and costs</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Supervisors</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Senior Management</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Ongoing</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Essential requirement, no MP required.</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10%</w:t>
            </w:r>
          </w:p>
        </w:tc>
      </w:tr>
      <w:tr w:rsidR="00ED3DEC" w:rsidRPr="00ED3DEC" w:rsidTr="00ED3DEC">
        <w:trPr>
          <w:trHeight w:val="772"/>
        </w:trPr>
        <w:tc>
          <w:tcPr>
            <w:tcW w:w="2011" w:type="dxa"/>
            <w:tcBorders>
              <w:top w:val="nil"/>
              <w:left w:val="single" w:sz="4" w:space="0" w:color="auto"/>
              <w:bottom w:val="single" w:sz="4" w:space="0" w:color="auto"/>
              <w:right w:val="single" w:sz="4" w:space="0" w:color="auto"/>
            </w:tcBorders>
            <w:shd w:val="clear" w:color="auto" w:fill="auto"/>
            <w:vAlign w:val="center"/>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w:t>
            </w:r>
          </w:p>
        </w:tc>
        <w:tc>
          <w:tcPr>
            <w:tcW w:w="1497" w:type="dxa"/>
            <w:tcBorders>
              <w:top w:val="single" w:sz="4" w:space="0" w:color="auto"/>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b/>
                <w:bCs/>
                <w:color w:val="000000"/>
                <w:sz w:val="22"/>
                <w:szCs w:val="22"/>
                <w:lang w:val="en-CA" w:eastAsia="en-CA"/>
              </w:rPr>
            </w:pPr>
            <w:r w:rsidRPr="00ED3DEC">
              <w:rPr>
                <w:rFonts w:ascii="Arial Narrow" w:eastAsia="Times New Roman" w:hAnsi="Arial Narrow" w:cs="Calibri"/>
                <w:b/>
                <w:bCs/>
                <w:color w:val="000000"/>
                <w:sz w:val="22"/>
                <w:szCs w:val="22"/>
                <w:lang w:val="en-CA" w:eastAsia="en-CA"/>
              </w:rPr>
              <w:t>Capital Build</w:t>
            </w:r>
          </w:p>
        </w:tc>
        <w:tc>
          <w:tcPr>
            <w:tcW w:w="4751" w:type="dxa"/>
            <w:tcBorders>
              <w:top w:val="nil"/>
              <w:left w:val="nil"/>
              <w:bottom w:val="single" w:sz="4" w:space="0" w:color="auto"/>
              <w:right w:val="single" w:sz="4" w:space="0" w:color="auto"/>
            </w:tcBorders>
            <w:shd w:val="clear" w:color="000000" w:fill="FFFFFF"/>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 xml:space="preserve">Continue to grow the community concept of a capital building through ongoing discussions with the ministry and community partners. </w:t>
            </w:r>
          </w:p>
        </w:tc>
        <w:tc>
          <w:tcPr>
            <w:tcW w:w="2918"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One Site Advisory Committee</w:t>
            </w:r>
          </w:p>
        </w:tc>
        <w:tc>
          <w:tcPr>
            <w:tcW w:w="182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Director of Corporate Services</w:t>
            </w:r>
          </w:p>
        </w:tc>
        <w:tc>
          <w:tcPr>
            <w:tcW w:w="140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Executive Director</w:t>
            </w:r>
          </w:p>
        </w:tc>
        <w:tc>
          <w:tcPr>
            <w:tcW w:w="1133"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Yearly</w:t>
            </w:r>
          </w:p>
        </w:tc>
        <w:tc>
          <w:tcPr>
            <w:tcW w:w="3187"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Alternative funding/planning phases will be considered as a MP</w:t>
            </w:r>
          </w:p>
        </w:tc>
        <w:tc>
          <w:tcPr>
            <w:tcW w:w="1261" w:type="dxa"/>
            <w:tcBorders>
              <w:top w:val="nil"/>
              <w:left w:val="nil"/>
              <w:bottom w:val="single" w:sz="4" w:space="0" w:color="auto"/>
              <w:right w:val="single" w:sz="4" w:space="0" w:color="auto"/>
            </w:tcBorders>
            <w:shd w:val="clear" w:color="auto" w:fill="auto"/>
            <w:vAlign w:val="bottom"/>
            <w:hideMark/>
          </w:tcPr>
          <w:p w:rsidR="00ED3DEC" w:rsidRPr="00ED3DEC" w:rsidRDefault="00ED3DEC" w:rsidP="00ED3DEC">
            <w:pPr>
              <w:jc w:val="right"/>
              <w:rPr>
                <w:rFonts w:ascii="Arial Narrow" w:eastAsia="Times New Roman" w:hAnsi="Arial Narrow" w:cs="Calibri"/>
                <w:color w:val="000000"/>
                <w:sz w:val="20"/>
                <w:szCs w:val="20"/>
                <w:lang w:val="en-CA" w:eastAsia="en-CA"/>
              </w:rPr>
            </w:pPr>
            <w:r w:rsidRPr="00ED3DEC">
              <w:rPr>
                <w:rFonts w:ascii="Arial Narrow" w:eastAsia="Times New Roman" w:hAnsi="Arial Narrow" w:cs="Calibri"/>
                <w:color w:val="000000"/>
                <w:sz w:val="20"/>
                <w:szCs w:val="20"/>
                <w:lang w:val="en-CA" w:eastAsia="en-CA"/>
              </w:rPr>
              <w:t>25%</w:t>
            </w:r>
          </w:p>
        </w:tc>
      </w:tr>
    </w:tbl>
    <w:p w:rsidR="00ED3DEC" w:rsidRDefault="00ED3DEC" w:rsidP="002F6B2A">
      <w:pPr>
        <w:jc w:val="center"/>
      </w:pPr>
    </w:p>
    <w:p w:rsidR="00ED3DEC" w:rsidRDefault="00ED3DEC" w:rsidP="002F6B2A">
      <w:pPr>
        <w:jc w:val="center"/>
      </w:pPr>
    </w:p>
    <w:p w:rsidR="00ED3DEC" w:rsidRDefault="00ED3DEC" w:rsidP="002F6B2A">
      <w:pPr>
        <w:jc w:val="center"/>
        <w:sectPr w:rsidR="00ED3DEC" w:rsidSect="00ED3DEC">
          <w:pgSz w:w="20160" w:h="12240" w:orient="landscape" w:code="5"/>
          <w:pgMar w:top="720" w:right="720" w:bottom="720" w:left="720" w:header="576" w:footer="576" w:gutter="0"/>
          <w:cols w:space="708"/>
          <w:titlePg/>
          <w:docGrid w:linePitch="360"/>
        </w:sectPr>
      </w:pPr>
    </w:p>
    <w:p w:rsidR="00107EA5" w:rsidRDefault="00107EA5" w:rsidP="00496DB6">
      <w:pPr>
        <w:pStyle w:val="Text"/>
      </w:pPr>
    </w:p>
    <w:p w:rsidR="00107EA5" w:rsidRDefault="00107EA5" w:rsidP="00496DB6">
      <w:pPr>
        <w:pStyle w:val="Text"/>
      </w:pPr>
    </w:p>
    <w:tbl>
      <w:tblPr>
        <w:tblStyle w:val="TableGrid"/>
        <w:tblW w:w="0" w:type="auto"/>
        <w:tblLook w:val="04A0" w:firstRow="1" w:lastRow="0" w:firstColumn="1" w:lastColumn="0" w:noHBand="0" w:noVBand="1"/>
      </w:tblPr>
      <w:tblGrid>
        <w:gridCol w:w="10790"/>
      </w:tblGrid>
      <w:tr w:rsidR="00107EA5" w:rsidTr="00D32034">
        <w:tc>
          <w:tcPr>
            <w:tcW w:w="10790" w:type="dxa"/>
            <w:shd w:val="clear" w:color="auto" w:fill="8AB833" w:themeFill="accent2"/>
          </w:tcPr>
          <w:p w:rsidR="00107EA5" w:rsidRPr="00107EA5" w:rsidRDefault="004B6A12" w:rsidP="00496DB6">
            <w:pPr>
              <w:pStyle w:val="Text"/>
              <w:rPr>
                <w:b/>
                <w:color w:val="FFFFFF" w:themeColor="background1"/>
              </w:rPr>
            </w:pPr>
            <w:r>
              <w:rPr>
                <w:b/>
                <w:color w:val="FFFFFF" w:themeColor="background1"/>
              </w:rPr>
              <w:t>Risks</w:t>
            </w:r>
          </w:p>
        </w:tc>
      </w:tr>
    </w:tbl>
    <w:p w:rsidR="00107EA5" w:rsidRDefault="00107EA5" w:rsidP="00496DB6">
      <w:pPr>
        <w:pStyle w:val="Text"/>
      </w:pPr>
    </w:p>
    <w:p w:rsidR="00A0145E" w:rsidRPr="0072265F" w:rsidRDefault="00107EA5" w:rsidP="00107EA5">
      <w:pPr>
        <w:pStyle w:val="Text"/>
        <w:rPr>
          <w:sz w:val="24"/>
        </w:rPr>
      </w:pPr>
      <w:r w:rsidRPr="0072265F">
        <w:rPr>
          <w:sz w:val="24"/>
        </w:rPr>
        <w:t xml:space="preserve">In the development of this Business Plan, the Society considers many factors that may impact and influence the execution and ability </w:t>
      </w:r>
      <w:r w:rsidR="00D32034" w:rsidRPr="0072265F">
        <w:rPr>
          <w:sz w:val="24"/>
        </w:rPr>
        <w:t>to attain the objectives set out in the Strategic Plan.</w:t>
      </w:r>
    </w:p>
    <w:p w:rsidR="006915D3" w:rsidRDefault="006915D3" w:rsidP="006915D3">
      <w:pPr>
        <w:pStyle w:val="Heading3"/>
        <w:spacing w:before="0"/>
      </w:pPr>
    </w:p>
    <w:p w:rsidR="00A0145E" w:rsidRDefault="00A0145E" w:rsidP="00A0145E">
      <w:pPr>
        <w:pStyle w:val="Heading3"/>
      </w:pPr>
      <w:r>
        <w:t>Government Fiscal Restraint</w:t>
      </w:r>
    </w:p>
    <w:p w:rsidR="00A0145E" w:rsidRPr="0072265F" w:rsidRDefault="00A0145E" w:rsidP="00A0145E">
      <w:pPr>
        <w:pStyle w:val="Text"/>
        <w:rPr>
          <w:sz w:val="24"/>
        </w:rPr>
      </w:pPr>
      <w:r w:rsidRPr="0072265F">
        <w:rPr>
          <w:sz w:val="24"/>
        </w:rPr>
        <w:t>Past and current governments have continued to message fiscal restraint. For the child welfare sector, this has meant no increase to overall funding envelope to support inflation costs, cost of living or increasing demands for compliance and reporting</w:t>
      </w:r>
      <w:r w:rsidR="00D32034" w:rsidRPr="0072265F">
        <w:rPr>
          <w:sz w:val="24"/>
        </w:rPr>
        <w:t>.</w:t>
      </w:r>
    </w:p>
    <w:p w:rsidR="006915D3" w:rsidRDefault="006915D3" w:rsidP="006915D3">
      <w:pPr>
        <w:pStyle w:val="Heading3"/>
        <w:spacing w:before="0"/>
      </w:pPr>
    </w:p>
    <w:p w:rsidR="00A0145E" w:rsidRDefault="00A0145E" w:rsidP="00A0145E">
      <w:pPr>
        <w:pStyle w:val="Heading3"/>
      </w:pPr>
      <w:r>
        <w:t>Socio-Economic Realities</w:t>
      </w:r>
    </w:p>
    <w:p w:rsidR="00A0145E" w:rsidRPr="0072265F" w:rsidRDefault="00A0145E" w:rsidP="00A0145E">
      <w:pPr>
        <w:pStyle w:val="Text"/>
        <w:rPr>
          <w:sz w:val="24"/>
        </w:rPr>
      </w:pPr>
      <w:r w:rsidRPr="0072265F">
        <w:rPr>
          <w:sz w:val="24"/>
        </w:rPr>
        <w:t xml:space="preserve">There are many socio-economic factors that impact the work of child welfare both locally and provincially. Within the </w:t>
      </w:r>
      <w:r w:rsidR="00E83562" w:rsidRPr="0072265F">
        <w:rPr>
          <w:sz w:val="24"/>
        </w:rPr>
        <w:t>d</w:t>
      </w:r>
      <w:r w:rsidRPr="0072265F">
        <w:rPr>
          <w:sz w:val="24"/>
        </w:rPr>
        <w:t>istricts of Nipissing and Parry Sound there are key determinants that are, or may, impact child welfare service volumes under the current funding model. There are limited affordable housing options within the communities served and human trafficking and homelessness are evolving as a pressing social priority within the communities</w:t>
      </w:r>
      <w:r w:rsidR="004B6A12" w:rsidRPr="0072265F">
        <w:rPr>
          <w:sz w:val="24"/>
        </w:rPr>
        <w:t xml:space="preserve"> as well as inadequate access to key health services such as addictions support services, addiction treatment services, and consistent access to primary health care providers.</w:t>
      </w:r>
    </w:p>
    <w:p w:rsidR="006915D3" w:rsidRDefault="006915D3" w:rsidP="006915D3">
      <w:pPr>
        <w:pStyle w:val="Heading3"/>
        <w:spacing w:before="0"/>
      </w:pPr>
    </w:p>
    <w:p w:rsidR="00A0145E" w:rsidRDefault="00A0145E" w:rsidP="00A0145E">
      <w:pPr>
        <w:pStyle w:val="Heading3"/>
      </w:pPr>
      <w:r>
        <w:t>COVID-19 Pandemic</w:t>
      </w:r>
    </w:p>
    <w:p w:rsidR="00A3565D" w:rsidRPr="0072265F" w:rsidRDefault="00A0145E" w:rsidP="00A0145E">
      <w:pPr>
        <w:pStyle w:val="Text"/>
        <w:rPr>
          <w:sz w:val="24"/>
        </w:rPr>
      </w:pPr>
      <w:r w:rsidRPr="0072265F">
        <w:rPr>
          <w:sz w:val="24"/>
        </w:rPr>
        <w:t xml:space="preserve">The COVID-19 Pandemic that started in March 2020 has had profound impacts on </w:t>
      </w:r>
      <w:r w:rsidR="004B6A12" w:rsidRPr="0072265F">
        <w:rPr>
          <w:sz w:val="24"/>
        </w:rPr>
        <w:t xml:space="preserve">all </w:t>
      </w:r>
      <w:r w:rsidRPr="0072265F">
        <w:rPr>
          <w:sz w:val="24"/>
        </w:rPr>
        <w:t>communities, including the communities served by the Society. The ultimate impact is unknown however</w:t>
      </w:r>
      <w:r w:rsidR="004B6A12" w:rsidRPr="0072265F">
        <w:rPr>
          <w:sz w:val="24"/>
        </w:rPr>
        <w:t>,</w:t>
      </w:r>
      <w:r w:rsidRPr="0072265F">
        <w:rPr>
          <w:sz w:val="24"/>
        </w:rPr>
        <w:t xml:space="preserve"> the Society has observed through its service delivery the hard realities of the pandemic, which is leading to higher rates of addiction, poverty due to precarious employment, and increased mental health demand due to the impact of social isolation. Although the demand for service </w:t>
      </w:r>
      <w:r w:rsidR="004B6A12" w:rsidRPr="0072265F">
        <w:rPr>
          <w:sz w:val="24"/>
        </w:rPr>
        <w:t>has not</w:t>
      </w:r>
      <w:r w:rsidRPr="0072265F">
        <w:rPr>
          <w:sz w:val="24"/>
        </w:rPr>
        <w:t xml:space="preserve"> increased</w:t>
      </w:r>
      <w:r w:rsidR="004B6A12" w:rsidRPr="0072265F">
        <w:rPr>
          <w:sz w:val="24"/>
        </w:rPr>
        <w:t xml:space="preserve"> substantially</w:t>
      </w:r>
      <w:r w:rsidRPr="0072265F">
        <w:rPr>
          <w:sz w:val="24"/>
        </w:rPr>
        <w:t xml:space="preserve">, the demand and need </w:t>
      </w:r>
      <w:r w:rsidR="00D32034" w:rsidRPr="0072265F">
        <w:rPr>
          <w:sz w:val="24"/>
        </w:rPr>
        <w:t>for</w:t>
      </w:r>
      <w:r w:rsidRPr="0072265F">
        <w:rPr>
          <w:sz w:val="24"/>
        </w:rPr>
        <w:t xml:space="preserve"> community services and supports is growing, leading to longer wait times for service. </w:t>
      </w:r>
    </w:p>
    <w:p w:rsidR="006915D3" w:rsidRDefault="006915D3" w:rsidP="006915D3">
      <w:pPr>
        <w:pStyle w:val="Heading3"/>
        <w:spacing w:before="0"/>
      </w:pPr>
    </w:p>
    <w:p w:rsidR="000922B7" w:rsidRDefault="000922B7" w:rsidP="000922B7">
      <w:pPr>
        <w:pStyle w:val="Heading3"/>
      </w:pPr>
      <w:r>
        <w:t xml:space="preserve">Operational Performance </w:t>
      </w:r>
    </w:p>
    <w:p w:rsidR="000922B7" w:rsidRPr="0072265F" w:rsidRDefault="000922B7" w:rsidP="000922B7">
      <w:pPr>
        <w:pStyle w:val="Text"/>
        <w:rPr>
          <w:sz w:val="24"/>
        </w:rPr>
      </w:pPr>
      <w:r w:rsidRPr="0072265F">
        <w:rPr>
          <w:sz w:val="24"/>
        </w:rPr>
        <w:t>Community-based organizations like Children’s Aid Societies are challenged to operate under significant fiscal constraint. Efforts are ongoing to improve organizational performance and effectiveness through efficiencies, continuous improvement and shared service opportunities.</w:t>
      </w:r>
    </w:p>
    <w:p w:rsidR="000922B7" w:rsidRPr="0072265F" w:rsidRDefault="000922B7" w:rsidP="000922B7">
      <w:pPr>
        <w:pStyle w:val="Text"/>
        <w:rPr>
          <w:sz w:val="24"/>
        </w:rPr>
      </w:pPr>
    </w:p>
    <w:p w:rsidR="004F409B" w:rsidRDefault="000922B7" w:rsidP="006F056F">
      <w:pPr>
        <w:pStyle w:val="Text"/>
      </w:pPr>
      <w:r w:rsidRPr="0072265F">
        <w:rPr>
          <w:sz w:val="24"/>
        </w:rPr>
        <w:t xml:space="preserve">The Society understands the importance of measuring performance and outcomes for children and their families. Key Performance Indicators (KPIs) have been developed to </w:t>
      </w:r>
      <w:r>
        <w:t xml:space="preserve">best outline </w:t>
      </w:r>
      <w:r w:rsidRPr="0072265F">
        <w:rPr>
          <w:sz w:val="24"/>
        </w:rPr>
        <w:t>effectiveness in the delivery of mandated services</w:t>
      </w:r>
      <w:r w:rsidR="004B6A12" w:rsidRPr="0072265F">
        <w:rPr>
          <w:sz w:val="24"/>
        </w:rPr>
        <w:t xml:space="preserve"> and are publicly reported on the </w:t>
      </w:r>
      <w:r w:rsidR="004B6A12">
        <w:t>government of Ontario’s website</w:t>
      </w:r>
      <w:r>
        <w:t xml:space="preserve">. </w:t>
      </w:r>
      <w:r w:rsidR="006F056F">
        <w:t xml:space="preserve">The Agency also follows ministry </w:t>
      </w:r>
      <w:r w:rsidR="001C0999">
        <w:t>requirements related to Quality Improvement Plan reporting on compliance to child protection standards on a regular basis.</w:t>
      </w:r>
    </w:p>
    <w:p w:rsidR="001C0999" w:rsidRDefault="001C0999" w:rsidP="006F056F">
      <w:pPr>
        <w:pStyle w:val="Text"/>
      </w:pPr>
    </w:p>
    <w:p w:rsidR="001C0999" w:rsidRDefault="001C0999" w:rsidP="006F056F">
      <w:pPr>
        <w:pStyle w:val="Text"/>
      </w:pPr>
    </w:p>
    <w:p w:rsidR="0072265F" w:rsidRDefault="0072265F" w:rsidP="006F056F">
      <w:pPr>
        <w:pStyle w:val="Text"/>
      </w:pPr>
    </w:p>
    <w:p w:rsidR="0072265F" w:rsidRPr="006F056F" w:rsidRDefault="0072265F" w:rsidP="006F056F">
      <w:pPr>
        <w:pStyle w:val="Text"/>
      </w:pPr>
    </w:p>
    <w:p w:rsidR="004F409B" w:rsidRDefault="004F409B" w:rsidP="004F409B">
      <w:pPr>
        <w:rPr>
          <w:b/>
          <w:color w:val="000000" w:themeColor="text1"/>
          <w:sz w:val="28"/>
          <w:szCs w:val="28"/>
        </w:rPr>
      </w:pPr>
      <w:r w:rsidRPr="004F409B">
        <w:rPr>
          <w:b/>
          <w:color w:val="000000" w:themeColor="text1"/>
          <w:sz w:val="28"/>
          <w:szCs w:val="28"/>
        </w:rPr>
        <w:lastRenderedPageBreak/>
        <w:t>Agency Overview</w:t>
      </w:r>
      <w:r w:rsidR="00345C0B">
        <w:rPr>
          <w:b/>
          <w:color w:val="000000" w:themeColor="text1"/>
          <w:sz w:val="28"/>
          <w:szCs w:val="28"/>
        </w:rPr>
        <w:t xml:space="preserve"> and Community Partnerships</w:t>
      </w:r>
    </w:p>
    <w:p w:rsidR="00BC3AB9" w:rsidRPr="00025DF7" w:rsidRDefault="00BC3AB9" w:rsidP="00BC3AB9">
      <w:pPr>
        <w:pStyle w:val="Heading3"/>
      </w:pPr>
      <w:r>
        <w:t xml:space="preserve">Communities/Demographics </w:t>
      </w:r>
    </w:p>
    <w:tbl>
      <w:tblPr>
        <w:tblStyle w:val="TableGrid"/>
        <w:tblW w:w="0" w:type="auto"/>
        <w:tblLook w:val="04A0" w:firstRow="1" w:lastRow="0" w:firstColumn="1" w:lastColumn="0" w:noHBand="0" w:noVBand="1"/>
      </w:tblPr>
      <w:tblGrid>
        <w:gridCol w:w="4673"/>
        <w:gridCol w:w="2693"/>
        <w:gridCol w:w="2977"/>
      </w:tblGrid>
      <w:tr w:rsidR="00BC3AB9" w:rsidRPr="0072265F" w:rsidTr="001A5A0D">
        <w:tc>
          <w:tcPr>
            <w:tcW w:w="4673" w:type="dxa"/>
          </w:tcPr>
          <w:p w:rsidR="00BC3AB9" w:rsidRPr="0072265F" w:rsidRDefault="00BC3AB9" w:rsidP="001A5A0D">
            <w:pPr>
              <w:pStyle w:val="Heading3"/>
              <w:rPr>
                <w:sz w:val="24"/>
              </w:rPr>
            </w:pPr>
          </w:p>
        </w:tc>
        <w:tc>
          <w:tcPr>
            <w:tcW w:w="2693" w:type="dxa"/>
          </w:tcPr>
          <w:p w:rsidR="00BC3AB9" w:rsidRPr="0072265F" w:rsidRDefault="00BC3AB9" w:rsidP="001A5A0D">
            <w:pPr>
              <w:pStyle w:val="Heading3"/>
              <w:jc w:val="center"/>
              <w:rPr>
                <w:sz w:val="24"/>
              </w:rPr>
            </w:pPr>
            <w:r w:rsidRPr="0072265F">
              <w:rPr>
                <w:sz w:val="24"/>
              </w:rPr>
              <w:t>Nipissing</w:t>
            </w:r>
          </w:p>
        </w:tc>
        <w:tc>
          <w:tcPr>
            <w:tcW w:w="2977" w:type="dxa"/>
          </w:tcPr>
          <w:p w:rsidR="00BC3AB9" w:rsidRPr="0072265F" w:rsidRDefault="00BC3AB9" w:rsidP="001A5A0D">
            <w:pPr>
              <w:pStyle w:val="Heading3"/>
              <w:jc w:val="center"/>
              <w:rPr>
                <w:sz w:val="24"/>
              </w:rPr>
            </w:pPr>
            <w:r w:rsidRPr="0072265F">
              <w:rPr>
                <w:sz w:val="24"/>
              </w:rPr>
              <w:t>Parry Sound</w:t>
            </w:r>
          </w:p>
        </w:tc>
      </w:tr>
      <w:tr w:rsidR="00BC3AB9" w:rsidRPr="0072265F" w:rsidTr="001A5A0D">
        <w:tc>
          <w:tcPr>
            <w:tcW w:w="4673" w:type="dxa"/>
          </w:tcPr>
          <w:p w:rsidR="00BC3AB9" w:rsidRPr="0072265F" w:rsidRDefault="00BC3AB9" w:rsidP="001A5A0D">
            <w:pPr>
              <w:pStyle w:val="Text"/>
              <w:rPr>
                <w:sz w:val="24"/>
              </w:rPr>
            </w:pPr>
            <w:r w:rsidRPr="0072265F">
              <w:rPr>
                <w:sz w:val="24"/>
              </w:rPr>
              <w:t>Population</w:t>
            </w:r>
          </w:p>
        </w:tc>
        <w:tc>
          <w:tcPr>
            <w:tcW w:w="2693" w:type="dxa"/>
          </w:tcPr>
          <w:p w:rsidR="00BC3AB9" w:rsidRPr="0072265F" w:rsidRDefault="00BC3AB9" w:rsidP="001A5A0D">
            <w:pPr>
              <w:pStyle w:val="Text"/>
              <w:jc w:val="center"/>
              <w:rPr>
                <w:sz w:val="24"/>
              </w:rPr>
            </w:pPr>
            <w:r w:rsidRPr="0072265F">
              <w:rPr>
                <w:sz w:val="24"/>
              </w:rPr>
              <w:t>83,150</w:t>
            </w:r>
          </w:p>
        </w:tc>
        <w:tc>
          <w:tcPr>
            <w:tcW w:w="2977" w:type="dxa"/>
          </w:tcPr>
          <w:p w:rsidR="00BC3AB9" w:rsidRPr="0072265F" w:rsidRDefault="00BC3AB9" w:rsidP="001A5A0D">
            <w:pPr>
              <w:pStyle w:val="Text"/>
              <w:jc w:val="center"/>
              <w:rPr>
                <w:sz w:val="24"/>
              </w:rPr>
            </w:pPr>
            <w:r w:rsidRPr="0072265F">
              <w:rPr>
                <w:sz w:val="24"/>
              </w:rPr>
              <w:t>42,824</w:t>
            </w:r>
          </w:p>
        </w:tc>
      </w:tr>
      <w:tr w:rsidR="00BC3AB9" w:rsidRPr="0072265F" w:rsidTr="001A5A0D">
        <w:tc>
          <w:tcPr>
            <w:tcW w:w="4673" w:type="dxa"/>
          </w:tcPr>
          <w:p w:rsidR="00BC3AB9" w:rsidRPr="0072265F" w:rsidRDefault="00BC3AB9" w:rsidP="001A5A0D">
            <w:pPr>
              <w:pStyle w:val="Text"/>
              <w:rPr>
                <w:sz w:val="24"/>
              </w:rPr>
            </w:pPr>
            <w:r w:rsidRPr="0072265F">
              <w:rPr>
                <w:sz w:val="24"/>
              </w:rPr>
              <w:t>Children/Youth</w:t>
            </w:r>
          </w:p>
        </w:tc>
        <w:tc>
          <w:tcPr>
            <w:tcW w:w="2693" w:type="dxa"/>
          </w:tcPr>
          <w:p w:rsidR="00BC3AB9" w:rsidRPr="0072265F" w:rsidRDefault="00BC3AB9" w:rsidP="001A5A0D">
            <w:pPr>
              <w:pStyle w:val="Text"/>
              <w:jc w:val="center"/>
              <w:rPr>
                <w:sz w:val="24"/>
              </w:rPr>
            </w:pPr>
            <w:r w:rsidRPr="0072265F">
              <w:rPr>
                <w:sz w:val="24"/>
              </w:rPr>
              <w:t>20.4% population</w:t>
            </w:r>
          </w:p>
        </w:tc>
        <w:tc>
          <w:tcPr>
            <w:tcW w:w="2977" w:type="dxa"/>
          </w:tcPr>
          <w:p w:rsidR="00BC3AB9" w:rsidRPr="0072265F" w:rsidRDefault="00BC3AB9" w:rsidP="001A5A0D">
            <w:pPr>
              <w:pStyle w:val="Text"/>
              <w:jc w:val="center"/>
              <w:rPr>
                <w:sz w:val="24"/>
              </w:rPr>
            </w:pPr>
            <w:r w:rsidRPr="0072265F">
              <w:rPr>
                <w:sz w:val="24"/>
              </w:rPr>
              <w:t>17% population</w:t>
            </w:r>
          </w:p>
        </w:tc>
      </w:tr>
      <w:tr w:rsidR="00BC3AB9" w:rsidRPr="0072265F" w:rsidTr="001A5A0D">
        <w:tc>
          <w:tcPr>
            <w:tcW w:w="4673" w:type="dxa"/>
          </w:tcPr>
          <w:p w:rsidR="00BC3AB9" w:rsidRPr="0072265F" w:rsidRDefault="00BC3AB9" w:rsidP="001A5A0D">
            <w:pPr>
              <w:pStyle w:val="Text"/>
              <w:rPr>
                <w:sz w:val="24"/>
              </w:rPr>
            </w:pPr>
            <w:r w:rsidRPr="0072265F">
              <w:rPr>
                <w:sz w:val="24"/>
              </w:rPr>
              <w:t>Median total income of households</w:t>
            </w:r>
          </w:p>
        </w:tc>
        <w:tc>
          <w:tcPr>
            <w:tcW w:w="2693" w:type="dxa"/>
          </w:tcPr>
          <w:p w:rsidR="00BC3AB9" w:rsidRPr="0072265F" w:rsidRDefault="00BC3AB9" w:rsidP="001A5A0D">
            <w:pPr>
              <w:pStyle w:val="Text"/>
              <w:jc w:val="center"/>
              <w:rPr>
                <w:sz w:val="24"/>
              </w:rPr>
            </w:pPr>
            <w:r w:rsidRPr="0072265F">
              <w:rPr>
                <w:sz w:val="24"/>
              </w:rPr>
              <w:t>$60,303.00</w:t>
            </w:r>
          </w:p>
        </w:tc>
        <w:tc>
          <w:tcPr>
            <w:tcW w:w="2977" w:type="dxa"/>
          </w:tcPr>
          <w:p w:rsidR="00BC3AB9" w:rsidRPr="0072265F" w:rsidRDefault="00BC3AB9" w:rsidP="001A5A0D">
            <w:pPr>
              <w:pStyle w:val="Text"/>
              <w:jc w:val="center"/>
              <w:rPr>
                <w:sz w:val="24"/>
              </w:rPr>
            </w:pPr>
            <w:r w:rsidRPr="0072265F">
              <w:rPr>
                <w:sz w:val="24"/>
              </w:rPr>
              <w:t>$60,251.00</w:t>
            </w:r>
          </w:p>
        </w:tc>
      </w:tr>
      <w:tr w:rsidR="00BC3AB9" w:rsidRPr="0072265F" w:rsidTr="001A5A0D">
        <w:tc>
          <w:tcPr>
            <w:tcW w:w="4673" w:type="dxa"/>
          </w:tcPr>
          <w:p w:rsidR="00BC3AB9" w:rsidRPr="0072265F" w:rsidRDefault="00BC3AB9" w:rsidP="001A5A0D">
            <w:pPr>
              <w:pStyle w:val="Text"/>
              <w:rPr>
                <w:sz w:val="24"/>
              </w:rPr>
            </w:pPr>
            <w:r w:rsidRPr="0072265F">
              <w:rPr>
                <w:sz w:val="24"/>
              </w:rPr>
              <w:t>Children in low income homes</w:t>
            </w:r>
          </w:p>
        </w:tc>
        <w:tc>
          <w:tcPr>
            <w:tcW w:w="2693" w:type="dxa"/>
          </w:tcPr>
          <w:p w:rsidR="00BC3AB9" w:rsidRPr="0072265F" w:rsidRDefault="00BC3AB9" w:rsidP="001A5A0D">
            <w:pPr>
              <w:pStyle w:val="Text"/>
              <w:jc w:val="center"/>
              <w:rPr>
                <w:sz w:val="24"/>
              </w:rPr>
            </w:pPr>
            <w:r w:rsidRPr="0072265F">
              <w:rPr>
                <w:sz w:val="24"/>
              </w:rPr>
              <w:t>17.7%</w:t>
            </w:r>
          </w:p>
        </w:tc>
        <w:tc>
          <w:tcPr>
            <w:tcW w:w="2977" w:type="dxa"/>
          </w:tcPr>
          <w:p w:rsidR="00BC3AB9" w:rsidRPr="0072265F" w:rsidRDefault="00BC3AB9" w:rsidP="001A5A0D">
            <w:pPr>
              <w:pStyle w:val="Text"/>
              <w:jc w:val="center"/>
              <w:rPr>
                <w:sz w:val="24"/>
              </w:rPr>
            </w:pPr>
            <w:r w:rsidRPr="0072265F">
              <w:rPr>
                <w:sz w:val="24"/>
              </w:rPr>
              <w:t>18.1%</w:t>
            </w:r>
          </w:p>
        </w:tc>
      </w:tr>
      <w:tr w:rsidR="00BC3AB9" w:rsidRPr="0072265F" w:rsidTr="001A5A0D">
        <w:tc>
          <w:tcPr>
            <w:tcW w:w="4673" w:type="dxa"/>
          </w:tcPr>
          <w:p w:rsidR="00BC3AB9" w:rsidRPr="0072265F" w:rsidRDefault="00BC3AB9" w:rsidP="001A5A0D">
            <w:pPr>
              <w:pStyle w:val="Text"/>
              <w:rPr>
                <w:sz w:val="24"/>
              </w:rPr>
            </w:pPr>
            <w:r w:rsidRPr="0072265F">
              <w:rPr>
                <w:sz w:val="24"/>
              </w:rPr>
              <w:t>Minorities</w:t>
            </w:r>
          </w:p>
        </w:tc>
        <w:tc>
          <w:tcPr>
            <w:tcW w:w="2693" w:type="dxa"/>
          </w:tcPr>
          <w:p w:rsidR="00BC3AB9" w:rsidRPr="0072265F" w:rsidRDefault="00BC3AB9" w:rsidP="001A5A0D">
            <w:pPr>
              <w:pStyle w:val="Text"/>
              <w:jc w:val="center"/>
              <w:rPr>
                <w:sz w:val="24"/>
              </w:rPr>
            </w:pPr>
            <w:r w:rsidRPr="0072265F">
              <w:rPr>
                <w:sz w:val="24"/>
              </w:rPr>
              <w:t>2.4%</w:t>
            </w:r>
          </w:p>
        </w:tc>
        <w:tc>
          <w:tcPr>
            <w:tcW w:w="2977" w:type="dxa"/>
          </w:tcPr>
          <w:p w:rsidR="00BC3AB9" w:rsidRPr="0072265F" w:rsidRDefault="00BC3AB9" w:rsidP="001A5A0D">
            <w:pPr>
              <w:pStyle w:val="Text"/>
              <w:jc w:val="center"/>
              <w:rPr>
                <w:sz w:val="24"/>
              </w:rPr>
            </w:pPr>
            <w:r w:rsidRPr="0072265F">
              <w:rPr>
                <w:sz w:val="24"/>
              </w:rPr>
              <w:t>1.5%</w:t>
            </w:r>
          </w:p>
        </w:tc>
      </w:tr>
      <w:tr w:rsidR="00BC3AB9" w:rsidRPr="0072265F" w:rsidTr="001A5A0D">
        <w:tc>
          <w:tcPr>
            <w:tcW w:w="4673" w:type="dxa"/>
          </w:tcPr>
          <w:p w:rsidR="00BC3AB9" w:rsidRPr="0072265F" w:rsidRDefault="00BC3AB9" w:rsidP="001A5A0D">
            <w:pPr>
              <w:pStyle w:val="Text"/>
              <w:rPr>
                <w:sz w:val="24"/>
              </w:rPr>
            </w:pPr>
            <w:r w:rsidRPr="0072265F">
              <w:rPr>
                <w:sz w:val="24"/>
              </w:rPr>
              <w:t>Immigrants</w:t>
            </w:r>
          </w:p>
        </w:tc>
        <w:tc>
          <w:tcPr>
            <w:tcW w:w="2693" w:type="dxa"/>
          </w:tcPr>
          <w:p w:rsidR="00BC3AB9" w:rsidRPr="0072265F" w:rsidRDefault="00BC3AB9" w:rsidP="001A5A0D">
            <w:pPr>
              <w:pStyle w:val="Text"/>
              <w:jc w:val="center"/>
              <w:rPr>
                <w:sz w:val="24"/>
              </w:rPr>
            </w:pPr>
            <w:r w:rsidRPr="0072265F">
              <w:rPr>
                <w:sz w:val="24"/>
              </w:rPr>
              <w:t>4.5%</w:t>
            </w:r>
          </w:p>
        </w:tc>
        <w:tc>
          <w:tcPr>
            <w:tcW w:w="2977" w:type="dxa"/>
          </w:tcPr>
          <w:p w:rsidR="00BC3AB9" w:rsidRPr="0072265F" w:rsidRDefault="00BC3AB9" w:rsidP="001A5A0D">
            <w:pPr>
              <w:pStyle w:val="Text"/>
              <w:jc w:val="center"/>
              <w:rPr>
                <w:sz w:val="24"/>
              </w:rPr>
            </w:pPr>
            <w:r w:rsidRPr="0072265F">
              <w:rPr>
                <w:sz w:val="24"/>
              </w:rPr>
              <w:t>7.1%</w:t>
            </w:r>
          </w:p>
        </w:tc>
      </w:tr>
      <w:tr w:rsidR="00BC3AB9" w:rsidRPr="0072265F" w:rsidTr="001A5A0D">
        <w:tc>
          <w:tcPr>
            <w:tcW w:w="4673" w:type="dxa"/>
          </w:tcPr>
          <w:p w:rsidR="00BC3AB9" w:rsidRPr="0072265F" w:rsidRDefault="00BC3AB9" w:rsidP="001A5A0D">
            <w:pPr>
              <w:pStyle w:val="Text"/>
              <w:rPr>
                <w:sz w:val="24"/>
              </w:rPr>
            </w:pPr>
            <w:r w:rsidRPr="0072265F">
              <w:rPr>
                <w:sz w:val="24"/>
              </w:rPr>
              <w:t xml:space="preserve">Aboriginal Population </w:t>
            </w:r>
          </w:p>
        </w:tc>
        <w:tc>
          <w:tcPr>
            <w:tcW w:w="2693" w:type="dxa"/>
          </w:tcPr>
          <w:p w:rsidR="00BC3AB9" w:rsidRPr="0072265F" w:rsidRDefault="00BC3AB9" w:rsidP="001A5A0D">
            <w:pPr>
              <w:pStyle w:val="Text"/>
              <w:jc w:val="center"/>
              <w:rPr>
                <w:sz w:val="24"/>
              </w:rPr>
            </w:pPr>
            <w:r w:rsidRPr="0072265F">
              <w:rPr>
                <w:sz w:val="24"/>
              </w:rPr>
              <w:t>14.2%</w:t>
            </w:r>
          </w:p>
        </w:tc>
        <w:tc>
          <w:tcPr>
            <w:tcW w:w="2977" w:type="dxa"/>
          </w:tcPr>
          <w:p w:rsidR="00BC3AB9" w:rsidRPr="0072265F" w:rsidRDefault="00BC3AB9" w:rsidP="001A5A0D">
            <w:pPr>
              <w:pStyle w:val="Text"/>
              <w:jc w:val="center"/>
              <w:rPr>
                <w:sz w:val="24"/>
              </w:rPr>
            </w:pPr>
            <w:r w:rsidRPr="0072265F">
              <w:rPr>
                <w:sz w:val="24"/>
              </w:rPr>
              <w:t>7.4%</w:t>
            </w:r>
          </w:p>
        </w:tc>
      </w:tr>
    </w:tbl>
    <w:p w:rsidR="00BC3AB9" w:rsidRDefault="00BC3AB9" w:rsidP="00BC3AB9">
      <w:pPr>
        <w:pStyle w:val="Heading3"/>
      </w:pPr>
      <w:r>
        <w:rPr>
          <w:noProof/>
        </w:rPr>
        <mc:AlternateContent>
          <mc:Choice Requires="wps">
            <w:drawing>
              <wp:anchor distT="45720" distB="45720" distL="114300" distR="114300" simplePos="0" relativeHeight="251687936" behindDoc="0" locked="0" layoutInCell="1" allowOverlap="1" wp14:anchorId="4435C228" wp14:editId="5D665704">
                <wp:simplePos x="0" y="0"/>
                <wp:positionH relativeFrom="column">
                  <wp:posOffset>815238</wp:posOffset>
                </wp:positionH>
                <wp:positionV relativeFrom="paragraph">
                  <wp:posOffset>120015</wp:posOffset>
                </wp:positionV>
                <wp:extent cx="5025390" cy="2249170"/>
                <wp:effectExtent l="0" t="0" r="381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2249170"/>
                        </a:xfrm>
                        <a:prstGeom prst="rect">
                          <a:avLst/>
                        </a:prstGeom>
                        <a:solidFill>
                          <a:srgbClr val="FFFFFF"/>
                        </a:solidFill>
                        <a:ln w="9525">
                          <a:noFill/>
                          <a:miter lim="800000"/>
                          <a:headEnd/>
                          <a:tailEnd/>
                        </a:ln>
                      </wps:spPr>
                      <wps:txbx>
                        <w:txbxContent>
                          <w:p w:rsidR="00BC3AB9" w:rsidRDefault="00BC3AB9" w:rsidP="00BC3AB9">
                            <w:r w:rsidRPr="0071007A">
                              <w:rPr>
                                <w:noProof/>
                              </w:rPr>
                              <w:drawing>
                                <wp:inline distT="0" distB="0" distL="0" distR="0" wp14:anchorId="48F1C288" wp14:editId="7DC0B671">
                                  <wp:extent cx="4857292" cy="2335998"/>
                                  <wp:effectExtent l="0" t="0" r="63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3858" cy="23535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5C228" id="_x0000_s1029" type="#_x0000_t202" style="position:absolute;margin-left:64.2pt;margin-top:9.45pt;width:395.7pt;height:177.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" stroked="f">
                <v:textbox>
                  <w:txbxContent>
                    <w:p w:rsidR="00BC3AB9" w:rsidRDefault="00BC3AB9" w:rsidP="00BC3AB9">
                      <w:r w:rsidRPr="0071007A">
                        <w:rPr>
                          <w:noProof/>
                        </w:rPr>
                        <w:drawing>
                          <wp:inline distT="0" distB="0" distL="0" distR="0" wp14:anchorId="48F1C288" wp14:editId="7DC0B671">
                            <wp:extent cx="4857292" cy="2335998"/>
                            <wp:effectExtent l="0" t="0" r="63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3858" cy="2353583"/>
                                    </a:xfrm>
                                    <a:prstGeom prst="rect">
                                      <a:avLst/>
                                    </a:prstGeom>
                                  </pic:spPr>
                                </pic:pic>
                              </a:graphicData>
                            </a:graphic>
                          </wp:inline>
                        </w:drawing>
                      </w:r>
                    </w:p>
                  </w:txbxContent>
                </v:textbox>
                <w10:wrap type="square"/>
              </v:shape>
            </w:pict>
          </mc:Fallback>
        </mc:AlternateContent>
      </w:r>
    </w:p>
    <w:p w:rsidR="00BC3AB9" w:rsidRDefault="00BC3AB9" w:rsidP="00BC3AB9"/>
    <w:p w:rsidR="00BC3AB9" w:rsidRDefault="00BC3AB9" w:rsidP="00BC3AB9"/>
    <w:p w:rsidR="00BC3AB9" w:rsidRDefault="00BC3AB9" w:rsidP="00BC3AB9"/>
    <w:p w:rsidR="00BC3AB9" w:rsidRDefault="00BC3AB9" w:rsidP="00BC3AB9"/>
    <w:p w:rsidR="00BC3AB9" w:rsidRDefault="00BC3AB9" w:rsidP="00BC3AB9"/>
    <w:p w:rsidR="00BC3AB9" w:rsidRDefault="00BC3AB9" w:rsidP="00BC3AB9"/>
    <w:p w:rsidR="00BC3AB9" w:rsidRDefault="00BC3AB9" w:rsidP="00BC3AB9"/>
    <w:p w:rsidR="00BC3AB9" w:rsidRPr="00477381" w:rsidRDefault="00BC3AB9" w:rsidP="00BC3AB9"/>
    <w:p w:rsidR="00BC3AB9" w:rsidRDefault="00BC3AB9" w:rsidP="00BC3AB9">
      <w:pPr>
        <w:pStyle w:val="Heading3"/>
      </w:pPr>
    </w:p>
    <w:p w:rsidR="00BC3AB9" w:rsidRDefault="00BC3AB9" w:rsidP="00BC3AB9">
      <w:pPr>
        <w:pStyle w:val="Heading3"/>
      </w:pPr>
    </w:p>
    <w:p w:rsidR="00BC3AB9" w:rsidRDefault="00345C0B" w:rsidP="00BC3AB9">
      <w:pPr>
        <w:pStyle w:val="Heading3"/>
      </w:pPr>
      <w:r w:rsidRPr="00481008">
        <w:rPr>
          <w:rFonts w:ascii="Abadi" w:hAnsi="Abadi"/>
          <w:noProof/>
        </w:rPr>
        <w:drawing>
          <wp:anchor distT="0" distB="0" distL="114300" distR="114300" simplePos="0" relativeHeight="251701248" behindDoc="0" locked="0" layoutInCell="1" allowOverlap="1" wp14:anchorId="11743457">
            <wp:simplePos x="0" y="0"/>
            <wp:positionH relativeFrom="margin">
              <wp:posOffset>635534</wp:posOffset>
            </wp:positionH>
            <wp:positionV relativeFrom="paragraph">
              <wp:posOffset>155174</wp:posOffset>
            </wp:positionV>
            <wp:extent cx="5431340" cy="283988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1340" cy="2839887"/>
                    </a:xfrm>
                    <a:prstGeom prst="rect">
                      <a:avLst/>
                    </a:prstGeom>
                  </pic:spPr>
                </pic:pic>
              </a:graphicData>
            </a:graphic>
            <wp14:sizeRelH relativeFrom="page">
              <wp14:pctWidth>0</wp14:pctWidth>
            </wp14:sizeRelH>
            <wp14:sizeRelV relativeFrom="page">
              <wp14:pctHeight>0</wp14:pctHeight>
            </wp14:sizeRelV>
          </wp:anchor>
        </w:drawing>
      </w: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345C0B" w:rsidRDefault="00345C0B" w:rsidP="00BC3AB9">
      <w:pPr>
        <w:pStyle w:val="Heading3"/>
      </w:pPr>
    </w:p>
    <w:p w:rsidR="00BC3AB9" w:rsidRDefault="00BC3AB9" w:rsidP="00BC3AB9">
      <w:pPr>
        <w:pStyle w:val="Heading3"/>
      </w:pPr>
      <w:r>
        <w:t xml:space="preserve">Financial Report </w:t>
      </w:r>
    </w:p>
    <w:p w:rsidR="00BC3AB9" w:rsidRPr="0072265F" w:rsidRDefault="00BC3AB9" w:rsidP="00BC3AB9">
      <w:pPr>
        <w:pStyle w:val="Text"/>
        <w:rPr>
          <w:sz w:val="24"/>
        </w:rPr>
      </w:pPr>
      <w:r w:rsidRPr="0072265F">
        <w:rPr>
          <w:sz w:val="24"/>
        </w:rPr>
        <w:t>The Society exhausted all available funds from the Balanced Budget Fund in 2021, with the surplus being used to clear the historical deficit, and as such; has no further fund to offset expenditures this fiscal year. It is clear from the funding vs. net expenditures that while both revenue and expenditures are declining, there is a still a gap that needs to be reconciled in order for the Society to return to a balanced budget position.</w:t>
      </w:r>
    </w:p>
    <w:p w:rsidR="00BC3AB9" w:rsidRDefault="00BC3AB9" w:rsidP="004F409B">
      <w:pPr>
        <w:rPr>
          <w:b/>
          <w:color w:val="000000" w:themeColor="text1"/>
          <w:sz w:val="28"/>
          <w:szCs w:val="28"/>
        </w:rPr>
      </w:pPr>
    </w:p>
    <w:p w:rsidR="00345C0B" w:rsidRDefault="00345C0B" w:rsidP="004F409B">
      <w:pPr>
        <w:rPr>
          <w:b/>
          <w:color w:val="000000" w:themeColor="text1"/>
          <w:sz w:val="28"/>
          <w:szCs w:val="28"/>
        </w:rPr>
      </w:pPr>
    </w:p>
    <w:p w:rsidR="00BC3AB9" w:rsidRPr="000922B7" w:rsidRDefault="00BC3AB9" w:rsidP="00BC3AB9">
      <w:pPr>
        <w:jc w:val="center"/>
      </w:pPr>
      <w:r w:rsidRPr="000922B7">
        <w:rPr>
          <w:noProof/>
        </w:rPr>
        <w:drawing>
          <wp:inline distT="0" distB="0" distL="0" distR="0" wp14:anchorId="1DEA2F28" wp14:editId="3C1FCD1A">
            <wp:extent cx="6539230" cy="3445811"/>
            <wp:effectExtent l="0" t="0" r="0" b="2540"/>
            <wp:docPr id="24" name="Chart 3">
              <a:extLst xmlns:a="http://schemas.openxmlformats.org/drawingml/2006/main">
                <a:ext uri="{FF2B5EF4-FFF2-40B4-BE49-F238E27FC236}">
                  <a16:creationId xmlns:a16="http://schemas.microsoft.com/office/drawing/2014/main" id="{E55BD51A-0D0C-91DB-BC13-CE1F0B486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3">
                      <a:extLst>
                        <a:ext uri="{FF2B5EF4-FFF2-40B4-BE49-F238E27FC236}">
                          <a16:creationId xmlns:a16="http://schemas.microsoft.com/office/drawing/2014/main" id="{E55BD51A-0D0C-91DB-BC13-CE1F0B4861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6501" cy="3465451"/>
                    </a:xfrm>
                    <a:prstGeom prst="rect">
                      <a:avLst/>
                    </a:prstGeom>
                    <a:noFill/>
                    <a:ln>
                      <a:noFill/>
                    </a:ln>
                    <a:extLst/>
                  </pic:spPr>
                </pic:pic>
              </a:graphicData>
            </a:graphic>
          </wp:inline>
        </w:drawing>
      </w:r>
    </w:p>
    <w:p w:rsidR="00BC3AB9" w:rsidRDefault="00BC3AB9" w:rsidP="00BC3AB9">
      <w:pPr>
        <w:pStyle w:val="Text"/>
      </w:pPr>
    </w:p>
    <w:p w:rsidR="00BC3AB9" w:rsidRPr="0072265F" w:rsidRDefault="00BC3AB9" w:rsidP="00BC3AB9">
      <w:pPr>
        <w:pStyle w:val="Text"/>
        <w:rPr>
          <w:sz w:val="24"/>
        </w:rPr>
      </w:pPr>
      <w:r w:rsidRPr="0072265F">
        <w:rPr>
          <w:sz w:val="24"/>
        </w:rPr>
        <w:t>In terms of expenses, the Society’s expenses are broken down as follows with salaries and benefits and boarding costs representing 82% of the budget on an annual basis. As a human services organization, salaries and benefits remains the largest cost component for the Society. The Society continues to be mindful of the costs associated with staff, balanced against providing appropriate services to meet the mandate under the CYFSA.</w:t>
      </w:r>
    </w:p>
    <w:p w:rsidR="00BC3AB9" w:rsidRDefault="00BC3AB9" w:rsidP="004F409B">
      <w:pPr>
        <w:rPr>
          <w:b/>
          <w:color w:val="000000" w:themeColor="text1"/>
          <w:sz w:val="28"/>
          <w:szCs w:val="28"/>
        </w:rPr>
      </w:pPr>
    </w:p>
    <w:p w:rsidR="00BC3AB9" w:rsidRDefault="00BC3AB9" w:rsidP="004F409B">
      <w:pPr>
        <w:rPr>
          <w:b/>
          <w:color w:val="000000" w:themeColor="text1"/>
          <w:sz w:val="28"/>
          <w:szCs w:val="28"/>
        </w:rPr>
      </w:pPr>
      <w:r w:rsidRPr="000922B7">
        <w:rPr>
          <w:noProof/>
        </w:rPr>
        <w:drawing>
          <wp:anchor distT="0" distB="0" distL="114300" distR="114300" simplePos="0" relativeHeight="251688960" behindDoc="0" locked="0" layoutInCell="1" allowOverlap="1" wp14:anchorId="0B6B61A4">
            <wp:simplePos x="0" y="0"/>
            <wp:positionH relativeFrom="column">
              <wp:posOffset>1307646</wp:posOffset>
            </wp:positionH>
            <wp:positionV relativeFrom="paragraph">
              <wp:posOffset>290830</wp:posOffset>
            </wp:positionV>
            <wp:extent cx="3952827" cy="2786743"/>
            <wp:effectExtent l="0" t="0" r="0" b="0"/>
            <wp:wrapNone/>
            <wp:docPr id="5122" name="Chart 6">
              <a:extLst xmlns:a="http://schemas.openxmlformats.org/drawingml/2006/main">
                <a:ext uri="{FF2B5EF4-FFF2-40B4-BE49-F238E27FC236}">
                  <a16:creationId xmlns:a16="http://schemas.microsoft.com/office/drawing/2014/main" id="{57A7B300-7A13-00C9-D461-21D3993CE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Chart 6">
                      <a:extLst>
                        <a:ext uri="{FF2B5EF4-FFF2-40B4-BE49-F238E27FC236}">
                          <a16:creationId xmlns:a16="http://schemas.microsoft.com/office/drawing/2014/main" id="{57A7B300-7A13-00C9-D461-21D3993CEC3B}"/>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54"/>
                    <a:stretch/>
                  </pic:blipFill>
                  <pic:spPr bwMode="auto">
                    <a:xfrm>
                      <a:off x="0" y="0"/>
                      <a:ext cx="3952827" cy="278674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Pr="00BC3AB9" w:rsidRDefault="00BC3AB9" w:rsidP="00BC3AB9">
      <w:pPr>
        <w:rPr>
          <w:sz w:val="28"/>
          <w:szCs w:val="28"/>
        </w:rPr>
      </w:pPr>
    </w:p>
    <w:p w:rsidR="00BC3AB9" w:rsidRDefault="00BC3AB9" w:rsidP="00BC3AB9">
      <w:pPr>
        <w:rPr>
          <w:sz w:val="28"/>
          <w:szCs w:val="28"/>
        </w:rPr>
      </w:pPr>
    </w:p>
    <w:p w:rsidR="00BC3AB9" w:rsidRDefault="00BC3AB9" w:rsidP="00BC3AB9">
      <w:pPr>
        <w:tabs>
          <w:tab w:val="left" w:pos="8889"/>
        </w:tabs>
        <w:rPr>
          <w:sz w:val="28"/>
          <w:szCs w:val="28"/>
        </w:rPr>
      </w:pPr>
      <w:r>
        <w:rPr>
          <w:sz w:val="28"/>
          <w:szCs w:val="28"/>
        </w:rPr>
        <w:tab/>
      </w:r>
    </w:p>
    <w:p w:rsidR="00BC3AB9" w:rsidRDefault="00BC3AB9" w:rsidP="00BC3AB9">
      <w:pPr>
        <w:tabs>
          <w:tab w:val="left" w:pos="8889"/>
        </w:tabs>
        <w:rPr>
          <w:sz w:val="28"/>
          <w:szCs w:val="28"/>
        </w:rPr>
      </w:pPr>
    </w:p>
    <w:p w:rsidR="00BC3AB9" w:rsidRDefault="00BC3AB9" w:rsidP="00BC3AB9">
      <w:pPr>
        <w:tabs>
          <w:tab w:val="left" w:pos="8889"/>
        </w:tabs>
        <w:rPr>
          <w:sz w:val="28"/>
          <w:szCs w:val="28"/>
        </w:rPr>
      </w:pPr>
    </w:p>
    <w:p w:rsidR="00BC3AB9" w:rsidRDefault="00BC3AB9" w:rsidP="00BC3AB9">
      <w:pPr>
        <w:tabs>
          <w:tab w:val="left" w:pos="8889"/>
        </w:tabs>
        <w:rPr>
          <w:sz w:val="28"/>
          <w:szCs w:val="28"/>
        </w:rPr>
      </w:pPr>
    </w:p>
    <w:p w:rsidR="00BC3AB9" w:rsidRDefault="00BC3AB9" w:rsidP="00BC3AB9">
      <w:pPr>
        <w:tabs>
          <w:tab w:val="left" w:pos="8889"/>
        </w:tabs>
        <w:rPr>
          <w:sz w:val="28"/>
          <w:szCs w:val="28"/>
        </w:rPr>
      </w:pPr>
    </w:p>
    <w:p w:rsidR="006F056F" w:rsidRDefault="006F056F" w:rsidP="00BC3AB9">
      <w:pPr>
        <w:pStyle w:val="Text"/>
        <w:sectPr w:rsidR="006F056F" w:rsidSect="00ED3DEC">
          <w:pgSz w:w="12240" w:h="15840" w:code="1"/>
          <w:pgMar w:top="720" w:right="720" w:bottom="720" w:left="720" w:header="576" w:footer="576" w:gutter="0"/>
          <w:cols w:space="708"/>
          <w:titlePg/>
          <w:docGrid w:linePitch="360"/>
        </w:sectPr>
      </w:pPr>
    </w:p>
    <w:p w:rsidR="00BC3AB9" w:rsidRPr="0072265F" w:rsidRDefault="00BC3AB9" w:rsidP="00BC3AB9">
      <w:pPr>
        <w:pStyle w:val="Text"/>
        <w:rPr>
          <w:sz w:val="24"/>
        </w:rPr>
      </w:pPr>
      <w:r w:rsidRPr="0072265F">
        <w:rPr>
          <w:sz w:val="24"/>
        </w:rPr>
        <w:lastRenderedPageBreak/>
        <w:t>In addition to funding provided by the Ministry for delivery of services, the Society collects revenue from various sources including Children’s Special Allowances, Child Disability Benefit (for those children and youth who qualify pursuant to Canada Revenue Agency) and other available sources to secure funding for exceptional needs for children in care. The Society has implemented policies and processes to ensure the collection of revenues for eligible children.</w:t>
      </w:r>
    </w:p>
    <w:p w:rsidR="006F056F" w:rsidRDefault="006F056F" w:rsidP="006F056F">
      <w:pPr>
        <w:pStyle w:val="Heading3"/>
      </w:pPr>
    </w:p>
    <w:p w:rsidR="006F056F" w:rsidRPr="00477381" w:rsidRDefault="006F056F" w:rsidP="006F056F">
      <w:pPr>
        <w:pStyle w:val="Heading3"/>
      </w:pPr>
      <w:r>
        <w:t>Overview and Analysis of Operational Performance</w:t>
      </w:r>
    </w:p>
    <w:p w:rsidR="006F056F" w:rsidRDefault="006F056F" w:rsidP="00BC3AB9">
      <w:pPr>
        <w:pStyle w:val="Text"/>
      </w:pPr>
    </w:p>
    <w:p w:rsidR="00BC3AB9" w:rsidRPr="00BC3AB9" w:rsidRDefault="00BC3AB9" w:rsidP="00BC3AB9">
      <w:pPr>
        <w:tabs>
          <w:tab w:val="left" w:pos="8889"/>
        </w:tabs>
        <w:rPr>
          <w:sz w:val="28"/>
          <w:szCs w:val="28"/>
        </w:rPr>
      </w:pPr>
    </w:p>
    <w:p w:rsidR="004F409B" w:rsidRDefault="004F409B" w:rsidP="004F409B">
      <w:pPr>
        <w:rPr>
          <w:b/>
          <w:color w:val="8AB833" w:themeColor="accent2"/>
          <w:sz w:val="28"/>
          <w:szCs w:val="28"/>
        </w:rPr>
      </w:pPr>
      <w:r>
        <w:rPr>
          <w:noProof/>
        </w:rPr>
        <w:drawing>
          <wp:inline distT="0" distB="0" distL="0" distR="0" wp14:anchorId="6AEC8230" wp14:editId="0E4B6101">
            <wp:extent cx="8300085" cy="4033158"/>
            <wp:effectExtent l="0" t="0" r="5715" b="5715"/>
            <wp:docPr id="10" name="Chart 10">
              <a:extLst xmlns:a="http://schemas.openxmlformats.org/drawingml/2006/main">
                <a:ext uri="{FF2B5EF4-FFF2-40B4-BE49-F238E27FC236}">
                  <a16:creationId xmlns:a16="http://schemas.microsoft.com/office/drawing/2014/main" id="{90B391D5-C406-4FE7-9F1F-DD8AE9868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409B" w:rsidRDefault="004F409B" w:rsidP="004F409B">
      <w:pPr>
        <w:rPr>
          <w:b/>
          <w:color w:val="8AB833" w:themeColor="accent2"/>
          <w:sz w:val="28"/>
          <w:szCs w:val="28"/>
        </w:rPr>
      </w:pPr>
    </w:p>
    <w:p w:rsidR="006F056F" w:rsidRDefault="006F056F" w:rsidP="004F409B">
      <w:pPr>
        <w:rPr>
          <w:b/>
          <w:color w:val="000000" w:themeColor="text1"/>
          <w:sz w:val="28"/>
        </w:rPr>
        <w:sectPr w:rsidR="006F056F" w:rsidSect="006F056F">
          <w:pgSz w:w="15840" w:h="12240" w:orient="landscape" w:code="1"/>
          <w:pgMar w:top="720" w:right="720" w:bottom="720" w:left="720" w:header="576" w:footer="576" w:gutter="0"/>
          <w:cols w:space="708"/>
          <w:titlePg/>
          <w:docGrid w:linePitch="360"/>
        </w:sectPr>
      </w:pPr>
    </w:p>
    <w:p w:rsidR="004F409B" w:rsidRPr="00BC3AB9" w:rsidRDefault="004F409B" w:rsidP="004F409B">
      <w:pPr>
        <w:rPr>
          <w:b/>
          <w:color w:val="000000" w:themeColor="text1"/>
          <w:sz w:val="28"/>
        </w:rPr>
      </w:pPr>
      <w:r w:rsidRPr="00BC3AB9">
        <w:rPr>
          <w:b/>
          <w:color w:val="000000" w:themeColor="text1"/>
          <w:sz w:val="28"/>
        </w:rPr>
        <w:t>Protection Services</w:t>
      </w:r>
    </w:p>
    <w:p w:rsidR="004F409B" w:rsidRDefault="004F409B" w:rsidP="004F409B">
      <w:pPr>
        <w:rPr>
          <w:color w:val="000000" w:themeColor="text1"/>
        </w:rPr>
      </w:pPr>
    </w:p>
    <w:p w:rsidR="004F409B" w:rsidRPr="004F409B" w:rsidRDefault="004F409B" w:rsidP="004F409B">
      <w:pPr>
        <w:rPr>
          <w:color w:val="000000" w:themeColor="text1"/>
        </w:rPr>
      </w:pPr>
    </w:p>
    <w:p w:rsidR="000922B7" w:rsidRDefault="00B97FEF" w:rsidP="000922B7">
      <w:pPr>
        <w:jc w:val="center"/>
      </w:pPr>
      <w:r>
        <w:rPr>
          <w:noProof/>
        </w:rPr>
        <w:drawing>
          <wp:inline distT="0" distB="0" distL="0" distR="0" wp14:anchorId="77E61D60" wp14:editId="2B5DD489">
            <wp:extent cx="4490357" cy="3129552"/>
            <wp:effectExtent l="0" t="0" r="5715" b="0"/>
            <wp:docPr id="4" name="Chart 4">
              <a:extLst xmlns:a="http://schemas.openxmlformats.org/drawingml/2006/main">
                <a:ext uri="{FF2B5EF4-FFF2-40B4-BE49-F238E27FC236}">
                  <a16:creationId xmlns:a16="http://schemas.microsoft.com/office/drawing/2014/main" id="{85AA1F28-D785-4F94-9099-32F7AADA7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22B7" w:rsidRDefault="000922B7" w:rsidP="000922B7"/>
    <w:p w:rsidR="00BC3AB9" w:rsidRPr="0072265F" w:rsidRDefault="000922B7" w:rsidP="00DE47B4">
      <w:pPr>
        <w:pStyle w:val="Text"/>
        <w:spacing w:after="120"/>
        <w:rPr>
          <w:sz w:val="24"/>
        </w:rPr>
      </w:pPr>
      <w:r w:rsidRPr="0072265F">
        <w:rPr>
          <w:sz w:val="24"/>
        </w:rPr>
        <w:t>The COVID-19 Pandemic created exceptional circumstances that have skewed data and service trends in child welfare. Due to closures of schools, childcare centers and community programs, several main sources of referrals disappeared; as a result, the Society experienced a decline in the number of referrals and investigations</w:t>
      </w:r>
      <w:r w:rsidR="001C0999" w:rsidRPr="0072265F">
        <w:rPr>
          <w:sz w:val="24"/>
        </w:rPr>
        <w:t xml:space="preserve"> from 2019-2021 which have since climbed to more expected levels</w:t>
      </w:r>
      <w:r w:rsidRPr="0072265F">
        <w:rPr>
          <w:sz w:val="24"/>
        </w:rPr>
        <w:t>.</w:t>
      </w:r>
    </w:p>
    <w:p w:rsidR="006F056F" w:rsidRDefault="006F056F" w:rsidP="00DE47B4">
      <w:pPr>
        <w:pStyle w:val="Text"/>
        <w:spacing w:after="120"/>
      </w:pPr>
    </w:p>
    <w:p w:rsidR="00BC3AB9" w:rsidRDefault="00BC3AB9" w:rsidP="006F056F">
      <w:pPr>
        <w:rPr>
          <w:b/>
          <w:color w:val="000000" w:themeColor="text1"/>
          <w:sz w:val="28"/>
          <w:szCs w:val="28"/>
        </w:rPr>
      </w:pPr>
      <w:r w:rsidRPr="00BC3AB9">
        <w:rPr>
          <w:b/>
          <w:color w:val="000000" w:themeColor="text1"/>
          <w:sz w:val="28"/>
          <w:szCs w:val="28"/>
        </w:rPr>
        <w:t>Residential Services</w:t>
      </w:r>
    </w:p>
    <w:p w:rsidR="006F056F" w:rsidRPr="006F056F" w:rsidRDefault="006F056F" w:rsidP="006F056F">
      <w:pPr>
        <w:rPr>
          <w:b/>
          <w:color w:val="000000" w:themeColor="text1"/>
          <w:sz w:val="28"/>
          <w:szCs w:val="28"/>
        </w:rPr>
      </w:pPr>
    </w:p>
    <w:p w:rsidR="004F409B" w:rsidRPr="0072265F" w:rsidRDefault="00BC3AB9" w:rsidP="00DE47B4">
      <w:pPr>
        <w:pStyle w:val="Text"/>
        <w:spacing w:after="120"/>
        <w:rPr>
          <w:sz w:val="24"/>
        </w:rPr>
      </w:pPr>
      <w:r w:rsidRPr="0072265F">
        <w:rPr>
          <w:sz w:val="24"/>
        </w:rPr>
        <w:t>The Society has been steadily placing less and less children and youth into foster and group care by re-focusing our service efforts on increasing the use of family</w:t>
      </w:r>
      <w:r w:rsidR="006F056F" w:rsidRPr="0072265F">
        <w:rPr>
          <w:sz w:val="24"/>
        </w:rPr>
        <w:t>-</w:t>
      </w:r>
      <w:r w:rsidRPr="0072265F">
        <w:rPr>
          <w:sz w:val="24"/>
        </w:rPr>
        <w:t xml:space="preserve">based connections and placing youth in Kinship and Kith Service arrangements with relatives and/or family friends. Through a robust recruitment strategy commencing July 2022, the Society expects to expand our placement options in order to </w:t>
      </w:r>
      <w:r w:rsidRPr="0072265F">
        <w:rPr>
          <w:b/>
          <w:sz w:val="24"/>
        </w:rPr>
        <w:t>reduce</w:t>
      </w:r>
      <w:r w:rsidRPr="0072265F">
        <w:rPr>
          <w:sz w:val="24"/>
        </w:rPr>
        <w:t xml:space="preserve"> the number of children and youth placed out of community and away from family. </w:t>
      </w:r>
    </w:p>
    <w:p w:rsidR="006F056F" w:rsidRDefault="006F056F" w:rsidP="00DE47B4">
      <w:pPr>
        <w:pStyle w:val="Text"/>
        <w:spacing w:after="120"/>
      </w:pPr>
    </w:p>
    <w:p w:rsidR="006F056F" w:rsidRDefault="006F056F" w:rsidP="00DE47B4">
      <w:pPr>
        <w:pStyle w:val="Text"/>
        <w:spacing w:after="120"/>
      </w:pPr>
      <w:r>
        <w:t>Residential Placement Services Language (Quick Reference)</w:t>
      </w:r>
    </w:p>
    <w:tbl>
      <w:tblPr>
        <w:tblStyle w:val="TableGrid"/>
        <w:tblW w:w="0" w:type="auto"/>
        <w:tblLook w:val="04A0" w:firstRow="1" w:lastRow="0" w:firstColumn="1" w:lastColumn="0" w:noHBand="0" w:noVBand="1"/>
      </w:tblPr>
      <w:tblGrid>
        <w:gridCol w:w="3114"/>
        <w:gridCol w:w="7676"/>
      </w:tblGrid>
      <w:tr w:rsidR="006F056F" w:rsidRPr="006F056F" w:rsidTr="006F056F">
        <w:tc>
          <w:tcPr>
            <w:tcW w:w="3114" w:type="dxa"/>
          </w:tcPr>
          <w:p w:rsidR="006F056F" w:rsidRPr="006F056F" w:rsidRDefault="006F056F" w:rsidP="00DE47B4">
            <w:pPr>
              <w:pStyle w:val="Text"/>
              <w:spacing w:after="120"/>
              <w:rPr>
                <w:sz w:val="22"/>
              </w:rPr>
            </w:pPr>
            <w:r w:rsidRPr="006F056F">
              <w:rPr>
                <w:sz w:val="22"/>
              </w:rPr>
              <w:t>Children in Care of The Society</w:t>
            </w:r>
          </w:p>
        </w:tc>
        <w:tc>
          <w:tcPr>
            <w:tcW w:w="7676" w:type="dxa"/>
          </w:tcPr>
          <w:p w:rsidR="006F056F" w:rsidRPr="006F056F" w:rsidRDefault="006F056F" w:rsidP="00DE47B4">
            <w:pPr>
              <w:pStyle w:val="Text"/>
              <w:spacing w:after="120"/>
              <w:rPr>
                <w:sz w:val="22"/>
              </w:rPr>
            </w:pPr>
            <w:r w:rsidRPr="006F056F">
              <w:rPr>
                <w:sz w:val="22"/>
              </w:rPr>
              <w:t>Children and/or Youth who were unable to maintain safety in the care of their primary caregiver</w:t>
            </w:r>
          </w:p>
        </w:tc>
      </w:tr>
      <w:tr w:rsidR="006F056F" w:rsidRPr="006F056F" w:rsidTr="006F056F">
        <w:tc>
          <w:tcPr>
            <w:tcW w:w="3114" w:type="dxa"/>
          </w:tcPr>
          <w:p w:rsidR="006F056F" w:rsidRPr="006F056F" w:rsidRDefault="006F056F" w:rsidP="00DE47B4">
            <w:pPr>
              <w:pStyle w:val="Text"/>
              <w:spacing w:after="120"/>
              <w:rPr>
                <w:sz w:val="22"/>
              </w:rPr>
            </w:pPr>
            <w:r w:rsidRPr="006F056F">
              <w:rPr>
                <w:sz w:val="22"/>
              </w:rPr>
              <w:t>Continued Care and Youth Support</w:t>
            </w:r>
          </w:p>
        </w:tc>
        <w:tc>
          <w:tcPr>
            <w:tcW w:w="7676" w:type="dxa"/>
          </w:tcPr>
          <w:p w:rsidR="006F056F" w:rsidRPr="006F056F" w:rsidRDefault="006F056F" w:rsidP="00DE47B4">
            <w:pPr>
              <w:pStyle w:val="Text"/>
              <w:spacing w:after="120"/>
              <w:rPr>
                <w:sz w:val="22"/>
              </w:rPr>
            </w:pPr>
            <w:r w:rsidRPr="006F056F">
              <w:rPr>
                <w:sz w:val="22"/>
              </w:rPr>
              <w:t>Youth over the age of 18 who still require Society care and support (voluntary)</w:t>
            </w:r>
          </w:p>
        </w:tc>
      </w:tr>
      <w:tr w:rsidR="006F056F" w:rsidRPr="006F056F" w:rsidTr="006F056F">
        <w:tc>
          <w:tcPr>
            <w:tcW w:w="3114" w:type="dxa"/>
          </w:tcPr>
          <w:p w:rsidR="006F056F" w:rsidRPr="006F056F" w:rsidRDefault="006F056F" w:rsidP="00DE47B4">
            <w:pPr>
              <w:pStyle w:val="Text"/>
              <w:spacing w:after="120"/>
              <w:rPr>
                <w:sz w:val="22"/>
              </w:rPr>
            </w:pPr>
            <w:r w:rsidRPr="006F056F">
              <w:rPr>
                <w:sz w:val="22"/>
              </w:rPr>
              <w:t>Formal Customary Care</w:t>
            </w:r>
          </w:p>
        </w:tc>
        <w:tc>
          <w:tcPr>
            <w:tcW w:w="7676" w:type="dxa"/>
          </w:tcPr>
          <w:p w:rsidR="006F056F" w:rsidRPr="006F056F" w:rsidRDefault="006F056F" w:rsidP="00DE47B4">
            <w:pPr>
              <w:pStyle w:val="Text"/>
              <w:spacing w:after="120"/>
              <w:rPr>
                <w:sz w:val="22"/>
              </w:rPr>
            </w:pPr>
            <w:r w:rsidRPr="006F056F">
              <w:rPr>
                <w:sz w:val="22"/>
              </w:rPr>
              <w:t>Out of home care that matches the child/youth with an Indigenous Care Provider.</w:t>
            </w:r>
          </w:p>
        </w:tc>
      </w:tr>
      <w:tr w:rsidR="006F056F" w:rsidRPr="006F056F" w:rsidTr="006F056F">
        <w:tc>
          <w:tcPr>
            <w:tcW w:w="3114" w:type="dxa"/>
          </w:tcPr>
          <w:p w:rsidR="006F056F" w:rsidRPr="006F056F" w:rsidRDefault="006F056F" w:rsidP="00DE47B4">
            <w:pPr>
              <w:pStyle w:val="Text"/>
              <w:spacing w:after="120"/>
              <w:rPr>
                <w:sz w:val="22"/>
              </w:rPr>
            </w:pPr>
            <w:r w:rsidRPr="006F056F">
              <w:rPr>
                <w:sz w:val="22"/>
              </w:rPr>
              <w:t>Extended Society Care</w:t>
            </w:r>
          </w:p>
        </w:tc>
        <w:tc>
          <w:tcPr>
            <w:tcW w:w="7676" w:type="dxa"/>
          </w:tcPr>
          <w:p w:rsidR="006F056F" w:rsidRPr="006F056F" w:rsidRDefault="006F056F" w:rsidP="00DE47B4">
            <w:pPr>
              <w:pStyle w:val="Text"/>
              <w:spacing w:after="120"/>
              <w:rPr>
                <w:sz w:val="22"/>
              </w:rPr>
            </w:pPr>
            <w:r w:rsidRPr="006F056F">
              <w:rPr>
                <w:sz w:val="22"/>
              </w:rPr>
              <w:t>Where the Society has gone to court to seek parental rights for a child/youth</w:t>
            </w:r>
          </w:p>
        </w:tc>
      </w:tr>
      <w:tr w:rsidR="006F056F" w:rsidRPr="006F056F" w:rsidTr="006F056F">
        <w:tc>
          <w:tcPr>
            <w:tcW w:w="3114" w:type="dxa"/>
          </w:tcPr>
          <w:p w:rsidR="006F056F" w:rsidRPr="006F056F" w:rsidRDefault="006F056F" w:rsidP="00DE47B4">
            <w:pPr>
              <w:pStyle w:val="Text"/>
              <w:spacing w:after="120"/>
              <w:rPr>
                <w:sz w:val="22"/>
              </w:rPr>
            </w:pPr>
            <w:r w:rsidRPr="006F056F">
              <w:rPr>
                <w:sz w:val="22"/>
              </w:rPr>
              <w:t>Kinship Service</w:t>
            </w:r>
          </w:p>
        </w:tc>
        <w:tc>
          <w:tcPr>
            <w:tcW w:w="7676" w:type="dxa"/>
          </w:tcPr>
          <w:p w:rsidR="006F056F" w:rsidRPr="006F056F" w:rsidRDefault="006F056F" w:rsidP="00DE47B4">
            <w:pPr>
              <w:pStyle w:val="Text"/>
              <w:spacing w:after="120"/>
              <w:rPr>
                <w:sz w:val="22"/>
              </w:rPr>
            </w:pPr>
            <w:r w:rsidRPr="006F056F">
              <w:rPr>
                <w:sz w:val="22"/>
              </w:rPr>
              <w:t>Out of home care that allows the child to live with extended family/kith</w:t>
            </w:r>
          </w:p>
        </w:tc>
      </w:tr>
    </w:tbl>
    <w:p w:rsidR="004F409B" w:rsidRDefault="004F409B" w:rsidP="00DE47B4">
      <w:pPr>
        <w:pStyle w:val="Text"/>
        <w:spacing w:after="120"/>
      </w:pPr>
    </w:p>
    <w:p w:rsidR="004F409B" w:rsidRDefault="006F056F" w:rsidP="00DE47B4">
      <w:pPr>
        <w:pStyle w:val="Text"/>
        <w:spacing w:after="120"/>
      </w:pPr>
      <w:r>
        <w:rPr>
          <w:noProof/>
        </w:rPr>
        <w:drawing>
          <wp:anchor distT="0" distB="0" distL="114300" distR="114300" simplePos="0" relativeHeight="251684864" behindDoc="0" locked="0" layoutInCell="1" allowOverlap="1" wp14:anchorId="09EB42AE">
            <wp:simplePos x="0" y="0"/>
            <wp:positionH relativeFrom="margin">
              <wp:align>left</wp:align>
            </wp:positionH>
            <wp:positionV relativeFrom="paragraph">
              <wp:posOffset>10340</wp:posOffset>
            </wp:positionV>
            <wp:extent cx="7070271" cy="4152900"/>
            <wp:effectExtent l="0" t="0" r="16510" b="0"/>
            <wp:wrapNone/>
            <wp:docPr id="6" name="Chart 6">
              <a:extLst xmlns:a="http://schemas.openxmlformats.org/drawingml/2006/main">
                <a:ext uri="{FF2B5EF4-FFF2-40B4-BE49-F238E27FC236}">
                  <a16:creationId xmlns:a16="http://schemas.microsoft.com/office/drawing/2014/main" id="{8A7BDBA8-FDEE-4EFB-89BE-E586BC5CD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4F409B" w:rsidRDefault="004F409B" w:rsidP="00DE47B4">
      <w:pPr>
        <w:pStyle w:val="Text"/>
        <w:spacing w:after="120"/>
      </w:pPr>
    </w:p>
    <w:p w:rsidR="004F409B" w:rsidRDefault="004F409B" w:rsidP="00DE47B4">
      <w:pPr>
        <w:pStyle w:val="Text"/>
        <w:spacing w:after="120"/>
      </w:pPr>
    </w:p>
    <w:p w:rsidR="004F409B" w:rsidRDefault="004F409B" w:rsidP="00DE47B4">
      <w:pPr>
        <w:pStyle w:val="Text"/>
        <w:spacing w:after="120"/>
      </w:pPr>
    </w:p>
    <w:p w:rsidR="004F409B" w:rsidRDefault="004F409B" w:rsidP="00DE47B4">
      <w:pPr>
        <w:pStyle w:val="Text"/>
        <w:spacing w:after="120"/>
      </w:pPr>
    </w:p>
    <w:p w:rsidR="004F409B" w:rsidRDefault="004F409B" w:rsidP="00DE47B4">
      <w:pPr>
        <w:pStyle w:val="Text"/>
        <w:spacing w:after="120"/>
      </w:pPr>
    </w:p>
    <w:p w:rsidR="000922B7" w:rsidRDefault="000922B7" w:rsidP="00DE47B4">
      <w:pPr>
        <w:pStyle w:val="Text"/>
        <w:spacing w:after="120"/>
      </w:pPr>
      <w:r>
        <w:t xml:space="preserve"> </w:t>
      </w:r>
    </w:p>
    <w:p w:rsidR="000922B7" w:rsidRDefault="000922B7" w:rsidP="000922B7">
      <w:pPr>
        <w:pStyle w:val="Text"/>
        <w:jc w:val="center"/>
      </w:pPr>
    </w:p>
    <w:p w:rsidR="000922B7" w:rsidRDefault="000922B7" w:rsidP="00A0145E">
      <w:pPr>
        <w:pStyle w:val="Text"/>
      </w:pPr>
    </w:p>
    <w:p w:rsidR="000922B7" w:rsidRDefault="000922B7" w:rsidP="000922B7">
      <w:pPr>
        <w:pStyle w:val="Text"/>
        <w:jc w:val="center"/>
      </w:pPr>
    </w:p>
    <w:p w:rsidR="000922B7" w:rsidRDefault="000922B7" w:rsidP="00A0145E">
      <w:pPr>
        <w:pStyle w:val="Text"/>
      </w:pPr>
    </w:p>
    <w:p w:rsidR="000922B7" w:rsidRDefault="000922B7" w:rsidP="000922B7">
      <w:pPr>
        <w:pStyle w:val="Text"/>
        <w:jc w:val="center"/>
      </w:pPr>
    </w:p>
    <w:p w:rsidR="00477381" w:rsidRDefault="00477381" w:rsidP="000922B7">
      <w:pPr>
        <w:pStyle w:val="Text"/>
        <w:jc w:val="center"/>
      </w:pPr>
    </w:p>
    <w:p w:rsidR="00477381" w:rsidRDefault="00477381" w:rsidP="000922B7">
      <w:pPr>
        <w:pStyle w:val="Text"/>
        <w:jc w:val="center"/>
      </w:pPr>
    </w:p>
    <w:p w:rsidR="00477381" w:rsidRDefault="00477381" w:rsidP="000922B7">
      <w:pPr>
        <w:pStyle w:val="Text"/>
        <w:jc w:val="center"/>
      </w:pPr>
    </w:p>
    <w:p w:rsidR="00A3565D" w:rsidRDefault="00A3565D" w:rsidP="0071007A">
      <w:pPr>
        <w:pStyle w:val="Text"/>
        <w:jc w:val="center"/>
      </w:pPr>
    </w:p>
    <w:p w:rsidR="000922B7" w:rsidRDefault="000922B7" w:rsidP="00DE47B4">
      <w:pPr>
        <w:jc w:val="center"/>
      </w:pPr>
    </w:p>
    <w:p w:rsidR="00DE47B4" w:rsidRDefault="00DE47B4" w:rsidP="00DE47B4">
      <w:pPr>
        <w:jc w:val="center"/>
      </w:pPr>
    </w:p>
    <w:p w:rsidR="0071007A" w:rsidRDefault="0071007A" w:rsidP="000922B7">
      <w:pPr>
        <w:pStyle w:val="Text"/>
        <w:jc w:val="center"/>
      </w:pPr>
    </w:p>
    <w:p w:rsidR="00A3565D" w:rsidRDefault="00A3565D" w:rsidP="000922B7">
      <w:pPr>
        <w:pStyle w:val="Text"/>
        <w:jc w:val="center"/>
      </w:pPr>
    </w:p>
    <w:p w:rsidR="0071007A" w:rsidRDefault="006F056F" w:rsidP="000922B7">
      <w:pPr>
        <w:pStyle w:val="Text"/>
        <w:jc w:val="center"/>
      </w:pPr>
      <w:r>
        <w:rPr>
          <w:noProof/>
        </w:rPr>
        <w:drawing>
          <wp:anchor distT="0" distB="0" distL="114300" distR="114300" simplePos="0" relativeHeight="251685888" behindDoc="0" locked="0" layoutInCell="1" allowOverlap="1" wp14:anchorId="3C93ADE8">
            <wp:simplePos x="0" y="0"/>
            <wp:positionH relativeFrom="margin">
              <wp:posOffset>487136</wp:posOffset>
            </wp:positionH>
            <wp:positionV relativeFrom="paragraph">
              <wp:posOffset>29301</wp:posOffset>
            </wp:positionV>
            <wp:extent cx="6150428" cy="3505200"/>
            <wp:effectExtent l="0" t="0" r="3175" b="0"/>
            <wp:wrapNone/>
            <wp:docPr id="1" name="Chart 1">
              <a:extLst xmlns:a="http://schemas.openxmlformats.org/drawingml/2006/main">
                <a:ext uri="{FF2B5EF4-FFF2-40B4-BE49-F238E27FC236}">
                  <a16:creationId xmlns:a16="http://schemas.microsoft.com/office/drawing/2014/main" id="{3234DF6D-6FB2-4623-88D6-B45879163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71007A" w:rsidRDefault="0071007A" w:rsidP="0071007A">
      <w:pPr>
        <w:pStyle w:val="Text"/>
      </w:pPr>
    </w:p>
    <w:p w:rsidR="0071007A" w:rsidRDefault="0071007A" w:rsidP="0071007A">
      <w:pPr>
        <w:pStyle w:val="Text"/>
      </w:pPr>
    </w:p>
    <w:p w:rsidR="0071007A" w:rsidRDefault="0071007A" w:rsidP="0071007A">
      <w:pPr>
        <w:pStyle w:val="Text"/>
      </w:pPr>
    </w:p>
    <w:p w:rsidR="0071007A" w:rsidRDefault="0071007A" w:rsidP="0071007A">
      <w:pPr>
        <w:pStyle w:val="Text"/>
      </w:pPr>
    </w:p>
    <w:p w:rsidR="006F056F" w:rsidRDefault="006F056F" w:rsidP="006915D3">
      <w:pPr>
        <w:pStyle w:val="Heading3"/>
        <w:rPr>
          <w:b w:val="0"/>
          <w:color w:val="auto"/>
        </w:rPr>
      </w:pPr>
    </w:p>
    <w:p w:rsidR="006F056F" w:rsidRDefault="006F056F" w:rsidP="006915D3">
      <w:pPr>
        <w:pStyle w:val="Heading3"/>
      </w:pPr>
    </w:p>
    <w:p w:rsidR="006F056F" w:rsidRDefault="006F056F" w:rsidP="006915D3">
      <w:pPr>
        <w:pStyle w:val="Heading3"/>
      </w:pPr>
    </w:p>
    <w:p w:rsidR="006F056F" w:rsidRDefault="006F056F" w:rsidP="006915D3">
      <w:pPr>
        <w:pStyle w:val="Heading3"/>
      </w:pPr>
    </w:p>
    <w:p w:rsidR="006F056F" w:rsidRDefault="006F056F" w:rsidP="006915D3">
      <w:pPr>
        <w:pStyle w:val="Heading3"/>
      </w:pPr>
    </w:p>
    <w:p w:rsidR="006F056F" w:rsidRDefault="006F056F" w:rsidP="006915D3">
      <w:pPr>
        <w:pStyle w:val="Heading3"/>
      </w:pPr>
    </w:p>
    <w:p w:rsidR="006F056F" w:rsidRDefault="006F056F" w:rsidP="006915D3">
      <w:pPr>
        <w:pStyle w:val="Heading3"/>
      </w:pPr>
    </w:p>
    <w:p w:rsidR="006F056F" w:rsidRDefault="006F056F" w:rsidP="006915D3">
      <w:pPr>
        <w:pStyle w:val="Heading3"/>
      </w:pPr>
    </w:p>
    <w:p w:rsidR="00477381" w:rsidRPr="00A0145E" w:rsidRDefault="00477381" w:rsidP="00345C0B">
      <w:pPr>
        <w:pStyle w:val="Heading3"/>
      </w:pPr>
      <w:bookmarkStart w:id="1" w:name="_GoBack"/>
      <w:bookmarkEnd w:id="1"/>
    </w:p>
    <w:sectPr w:rsidR="00477381" w:rsidRPr="00A0145E" w:rsidSect="006F056F">
      <w:pgSz w:w="12240" w:h="15840" w:code="1"/>
      <w:pgMar w:top="720" w:right="720" w:bottom="720" w:left="720" w:header="57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44D" w:rsidRDefault="00DD344D" w:rsidP="0032399A">
      <w:r>
        <w:separator/>
      </w:r>
    </w:p>
  </w:endnote>
  <w:endnote w:type="continuationSeparator" w:id="0">
    <w:p w:rsidR="00DD344D" w:rsidRDefault="00DD344D" w:rsidP="0032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44D" w:rsidRDefault="00DD344D" w:rsidP="0032399A">
      <w:r>
        <w:separator/>
      </w:r>
    </w:p>
  </w:footnote>
  <w:footnote w:type="continuationSeparator" w:id="0">
    <w:p w:rsidR="00DD344D" w:rsidRDefault="00DD344D" w:rsidP="00323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5045292"/>
      <w:docPartObj>
        <w:docPartGallery w:val="Page Numbers (Top of Page)"/>
        <w:docPartUnique/>
      </w:docPartObj>
    </w:sdtPr>
    <w:sdtContent>
      <w:p w:rsidR="00DD344D" w:rsidRDefault="00DD344D" w:rsidP="00DD344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D344D" w:rsidRDefault="00DD344D" w:rsidP="0032399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44D" w:rsidRDefault="00DD344D" w:rsidP="00DD344D">
    <w:pPr>
      <w:pStyle w:val="Header"/>
      <w:framePr w:wrap="none" w:vAnchor="text" w:hAnchor="margin" w:xAlign="right" w:y="1"/>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2697"/>
      <w:gridCol w:w="6293"/>
      <w:gridCol w:w="1800"/>
    </w:tblGrid>
    <w:tr w:rsidR="00DD344D" w:rsidTr="0054426D">
      <w:trPr>
        <w:trHeight w:val="570"/>
      </w:trPr>
      <w:tc>
        <w:tcPr>
          <w:tcW w:w="2697" w:type="dxa"/>
          <w:shd w:val="clear" w:color="auto" w:fill="8AB833" w:themeFill="accent2"/>
          <w:vAlign w:val="center"/>
        </w:tcPr>
        <w:p w:rsidR="00DD344D" w:rsidRPr="0032399A" w:rsidRDefault="00DD344D" w:rsidP="001A6F00">
          <w:pPr>
            <w:pStyle w:val="Header"/>
            <w:ind w:right="360"/>
          </w:pPr>
          <w:r>
            <w:t>BUSINESS PLAN</w:t>
          </w:r>
        </w:p>
      </w:tc>
      <w:tc>
        <w:tcPr>
          <w:tcW w:w="6293" w:type="dxa"/>
        </w:tcPr>
        <w:p w:rsidR="00DD344D" w:rsidRDefault="00DD344D" w:rsidP="0032399A">
          <w:pPr>
            <w:pStyle w:val="Header"/>
          </w:pPr>
        </w:p>
      </w:tc>
      <w:tc>
        <w:tcPr>
          <w:tcW w:w="1800" w:type="dxa"/>
          <w:vAlign w:val="center"/>
        </w:tcPr>
        <w:sdt>
          <w:sdtPr>
            <w:rPr>
              <w:rStyle w:val="PageNumber"/>
            </w:rPr>
            <w:id w:val="396635694"/>
            <w:docPartObj>
              <w:docPartGallery w:val="Page Numbers (Bottom of Page)"/>
              <w:docPartUnique/>
            </w:docPartObj>
          </w:sdtPr>
          <w:sdtContent>
            <w:p w:rsidR="00DD344D" w:rsidRPr="0032399A" w:rsidRDefault="00DD344D" w:rsidP="0032399A">
              <w:pPr>
                <w:pStyle w:val="Footer"/>
                <w:jc w:val="center"/>
              </w:pPr>
              <w:r w:rsidRPr="00AF4F54">
                <w:rPr>
                  <w:rStyle w:val="PageNumber"/>
                  <w:color w:val="auto"/>
                  <w:sz w:val="20"/>
                  <w:szCs w:val="20"/>
                </w:rPr>
                <w:t xml:space="preserve">PAGE </w:t>
              </w:r>
              <w:r w:rsidRPr="00AF4F54">
                <w:rPr>
                  <w:rStyle w:val="PageNumber"/>
                  <w:color w:val="auto"/>
                  <w:sz w:val="20"/>
                  <w:szCs w:val="20"/>
                </w:rPr>
                <w:fldChar w:fldCharType="begin"/>
              </w:r>
              <w:r w:rsidRPr="00AF4F54">
                <w:rPr>
                  <w:rStyle w:val="PageNumber"/>
                  <w:color w:val="auto"/>
                  <w:sz w:val="20"/>
                  <w:szCs w:val="20"/>
                </w:rPr>
                <w:instrText xml:space="preserve"> PAGE </w:instrText>
              </w:r>
              <w:r w:rsidRPr="00AF4F54">
                <w:rPr>
                  <w:rStyle w:val="PageNumber"/>
                  <w:color w:val="auto"/>
                  <w:sz w:val="20"/>
                  <w:szCs w:val="20"/>
                </w:rPr>
                <w:fldChar w:fldCharType="separate"/>
              </w:r>
              <w:r w:rsidRPr="00AF4F54">
                <w:rPr>
                  <w:rStyle w:val="PageNumber"/>
                  <w:noProof/>
                  <w:color w:val="auto"/>
                  <w:sz w:val="20"/>
                  <w:szCs w:val="20"/>
                </w:rPr>
                <w:t>2</w:t>
              </w:r>
              <w:r w:rsidRPr="00AF4F54">
                <w:rPr>
                  <w:rStyle w:val="PageNumber"/>
                  <w:color w:val="auto"/>
                  <w:sz w:val="20"/>
                  <w:szCs w:val="20"/>
                </w:rPr>
                <w:fldChar w:fldCharType="end"/>
              </w:r>
            </w:p>
          </w:sdtContent>
        </w:sdt>
      </w:tc>
    </w:tr>
  </w:tbl>
  <w:p w:rsidR="00DD344D" w:rsidRDefault="00DD344D" w:rsidP="003239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2697"/>
      <w:gridCol w:w="6293"/>
      <w:gridCol w:w="1800"/>
    </w:tblGrid>
    <w:tr w:rsidR="0072265F" w:rsidTr="001A5A0D">
      <w:trPr>
        <w:trHeight w:val="570"/>
      </w:trPr>
      <w:tc>
        <w:tcPr>
          <w:tcW w:w="2697" w:type="dxa"/>
          <w:shd w:val="clear" w:color="auto" w:fill="8AB833" w:themeFill="accent2"/>
          <w:vAlign w:val="center"/>
        </w:tcPr>
        <w:p w:rsidR="0072265F" w:rsidRPr="0032399A" w:rsidRDefault="0072265F" w:rsidP="0072265F">
          <w:pPr>
            <w:pStyle w:val="Header"/>
            <w:ind w:right="360"/>
          </w:pPr>
          <w:r>
            <w:t>BUSINESS PLAN</w:t>
          </w:r>
        </w:p>
      </w:tc>
      <w:tc>
        <w:tcPr>
          <w:tcW w:w="6293" w:type="dxa"/>
        </w:tcPr>
        <w:p w:rsidR="0072265F" w:rsidRDefault="0072265F" w:rsidP="0072265F">
          <w:pPr>
            <w:pStyle w:val="Header"/>
          </w:pPr>
        </w:p>
      </w:tc>
      <w:tc>
        <w:tcPr>
          <w:tcW w:w="1800" w:type="dxa"/>
          <w:vAlign w:val="center"/>
        </w:tcPr>
        <w:sdt>
          <w:sdtPr>
            <w:rPr>
              <w:rStyle w:val="PageNumber"/>
            </w:rPr>
            <w:id w:val="1920982612"/>
            <w:docPartObj>
              <w:docPartGallery w:val="Page Numbers (Bottom of Page)"/>
              <w:docPartUnique/>
            </w:docPartObj>
          </w:sdtPr>
          <w:sdtContent>
            <w:p w:rsidR="0072265F" w:rsidRPr="0032399A" w:rsidRDefault="0072265F" w:rsidP="0072265F">
              <w:pPr>
                <w:pStyle w:val="Footer"/>
              </w:pPr>
              <w:r w:rsidRPr="00AF4F54">
                <w:rPr>
                  <w:rStyle w:val="PageNumber"/>
                  <w:color w:val="auto"/>
                  <w:sz w:val="20"/>
                  <w:szCs w:val="20"/>
                </w:rPr>
                <w:t xml:space="preserve">PAGE </w:t>
              </w:r>
              <w:r w:rsidRPr="00AF4F54">
                <w:rPr>
                  <w:rStyle w:val="PageNumber"/>
                  <w:color w:val="auto"/>
                  <w:sz w:val="20"/>
                  <w:szCs w:val="20"/>
                </w:rPr>
                <w:fldChar w:fldCharType="begin"/>
              </w:r>
              <w:r w:rsidRPr="00AF4F54">
                <w:rPr>
                  <w:rStyle w:val="PageNumber"/>
                  <w:color w:val="auto"/>
                  <w:sz w:val="20"/>
                  <w:szCs w:val="20"/>
                </w:rPr>
                <w:instrText xml:space="preserve"> PAGE </w:instrText>
              </w:r>
              <w:r w:rsidRPr="00AF4F54">
                <w:rPr>
                  <w:rStyle w:val="PageNumber"/>
                  <w:color w:val="auto"/>
                  <w:sz w:val="20"/>
                  <w:szCs w:val="20"/>
                </w:rPr>
                <w:fldChar w:fldCharType="separate"/>
              </w:r>
              <w:r w:rsidRPr="00AF4F54">
                <w:rPr>
                  <w:rStyle w:val="PageNumber"/>
                  <w:noProof/>
                  <w:color w:val="auto"/>
                  <w:sz w:val="20"/>
                  <w:szCs w:val="20"/>
                </w:rPr>
                <w:t>2</w:t>
              </w:r>
              <w:r w:rsidRPr="00AF4F54">
                <w:rPr>
                  <w:rStyle w:val="PageNumber"/>
                  <w:color w:val="auto"/>
                  <w:sz w:val="20"/>
                  <w:szCs w:val="20"/>
                </w:rPr>
                <w:fldChar w:fldCharType="end"/>
              </w:r>
            </w:p>
          </w:sdtContent>
        </w:sdt>
      </w:tc>
    </w:tr>
  </w:tbl>
  <w:p w:rsidR="0072265F" w:rsidRDefault="00722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D42B1"/>
    <w:multiLevelType w:val="hybridMultilevel"/>
    <w:tmpl w:val="62A84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1552296"/>
    <w:multiLevelType w:val="hybridMultilevel"/>
    <w:tmpl w:val="30881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DF523FC"/>
    <w:multiLevelType w:val="hybridMultilevel"/>
    <w:tmpl w:val="83D621CA"/>
    <w:lvl w:ilvl="0" w:tplc="F75ABEE8">
      <w:start w:val="1"/>
      <w:numFmt w:val="bullet"/>
      <w:lvlText w:val=""/>
      <w:lvlJc w:val="left"/>
      <w:pPr>
        <w:ind w:left="720" w:firstLine="13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498"/>
    <w:rsid w:val="00025DF7"/>
    <w:rsid w:val="00056B1A"/>
    <w:rsid w:val="00072C42"/>
    <w:rsid w:val="00087213"/>
    <w:rsid w:val="000922B7"/>
    <w:rsid w:val="00107EA5"/>
    <w:rsid w:val="0018213C"/>
    <w:rsid w:val="001A1797"/>
    <w:rsid w:val="001A6F00"/>
    <w:rsid w:val="001C0999"/>
    <w:rsid w:val="00225E53"/>
    <w:rsid w:val="00256297"/>
    <w:rsid w:val="00294870"/>
    <w:rsid w:val="002C6E20"/>
    <w:rsid w:val="002E0DDD"/>
    <w:rsid w:val="002F6B2A"/>
    <w:rsid w:val="0032399A"/>
    <w:rsid w:val="00345C0B"/>
    <w:rsid w:val="003B4047"/>
    <w:rsid w:val="00403B1E"/>
    <w:rsid w:val="0043454C"/>
    <w:rsid w:val="00477381"/>
    <w:rsid w:val="00496DB6"/>
    <w:rsid w:val="004A0DED"/>
    <w:rsid w:val="004B6A12"/>
    <w:rsid w:val="004D07B5"/>
    <w:rsid w:val="004F409B"/>
    <w:rsid w:val="0054426D"/>
    <w:rsid w:val="00562ACB"/>
    <w:rsid w:val="006068D2"/>
    <w:rsid w:val="006915D3"/>
    <w:rsid w:val="006C60E6"/>
    <w:rsid w:val="006F056F"/>
    <w:rsid w:val="006F40C6"/>
    <w:rsid w:val="0071007A"/>
    <w:rsid w:val="0072265F"/>
    <w:rsid w:val="00756DD0"/>
    <w:rsid w:val="007735A6"/>
    <w:rsid w:val="008329C1"/>
    <w:rsid w:val="00914E47"/>
    <w:rsid w:val="00920259"/>
    <w:rsid w:val="009314BE"/>
    <w:rsid w:val="009409AE"/>
    <w:rsid w:val="00952F7D"/>
    <w:rsid w:val="00A0145E"/>
    <w:rsid w:val="00A3565D"/>
    <w:rsid w:val="00AB197F"/>
    <w:rsid w:val="00AF4F54"/>
    <w:rsid w:val="00B33538"/>
    <w:rsid w:val="00B97FEF"/>
    <w:rsid w:val="00BB68FA"/>
    <w:rsid w:val="00BC3AB9"/>
    <w:rsid w:val="00BF3944"/>
    <w:rsid w:val="00C91498"/>
    <w:rsid w:val="00D32034"/>
    <w:rsid w:val="00DD344D"/>
    <w:rsid w:val="00DE47B4"/>
    <w:rsid w:val="00E12350"/>
    <w:rsid w:val="00E51622"/>
    <w:rsid w:val="00E55BAE"/>
    <w:rsid w:val="00E83562"/>
    <w:rsid w:val="00ED3DEC"/>
    <w:rsid w:val="00F33306"/>
    <w:rsid w:val="00FB6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A8F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6"/>
    <w:qFormat/>
    <w:rsid w:val="00AF4F54"/>
    <w:rPr>
      <w:color w:val="FFFFFF" w:themeColor="background1"/>
    </w:rPr>
  </w:style>
  <w:style w:type="paragraph" w:styleId="Heading1">
    <w:name w:val="heading 1"/>
    <w:basedOn w:val="Normal"/>
    <w:next w:val="Normal"/>
    <w:link w:val="Heading1Char"/>
    <w:qFormat/>
    <w:rsid w:val="00AF4F54"/>
    <w:pPr>
      <w:spacing w:before="240"/>
      <w:outlineLvl w:val="0"/>
    </w:pPr>
    <w:rPr>
      <w:b/>
      <w:sz w:val="48"/>
      <w:szCs w:val="48"/>
    </w:rPr>
  </w:style>
  <w:style w:type="paragraph" w:styleId="Heading2">
    <w:name w:val="heading 2"/>
    <w:basedOn w:val="Normal"/>
    <w:next w:val="Normal"/>
    <w:link w:val="Heading2Char"/>
    <w:uiPriority w:val="1"/>
    <w:qFormat/>
    <w:rsid w:val="00AF4F54"/>
    <w:pPr>
      <w:outlineLvl w:val="1"/>
    </w:pPr>
    <w:rPr>
      <w:b/>
      <w:sz w:val="36"/>
      <w:szCs w:val="36"/>
    </w:rPr>
  </w:style>
  <w:style w:type="paragraph" w:styleId="Heading3">
    <w:name w:val="heading 3"/>
    <w:basedOn w:val="Normal"/>
    <w:next w:val="Normal"/>
    <w:link w:val="Heading3Char"/>
    <w:uiPriority w:val="2"/>
    <w:qFormat/>
    <w:rsid w:val="00AF4F54"/>
    <w:pPr>
      <w:spacing w:before="120"/>
      <w:outlineLvl w:val="2"/>
    </w:pPr>
    <w:rPr>
      <w:b/>
      <w:color w:val="8AB833" w:themeColor="accent2"/>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5"/>
    <w:qFormat/>
    <w:rsid w:val="007735A6"/>
    <w:rPr>
      <w:noProof/>
      <w:sz w:val="10"/>
    </w:rPr>
  </w:style>
  <w:style w:type="character" w:customStyle="1" w:styleId="Heading1Char">
    <w:name w:val="Heading 1 Char"/>
    <w:basedOn w:val="DefaultParagraphFont"/>
    <w:link w:val="Heading1"/>
    <w:rsid w:val="00AF4F54"/>
    <w:rPr>
      <w:b/>
      <w:color w:val="FFFFFF" w:themeColor="background1"/>
      <w:sz w:val="48"/>
      <w:szCs w:val="48"/>
    </w:rPr>
  </w:style>
  <w:style w:type="character" w:customStyle="1" w:styleId="Heading2Char">
    <w:name w:val="Heading 2 Char"/>
    <w:basedOn w:val="DefaultParagraphFont"/>
    <w:link w:val="Heading2"/>
    <w:uiPriority w:val="1"/>
    <w:rsid w:val="00AF4F54"/>
    <w:rPr>
      <w:b/>
      <w:color w:val="FFFFFF" w:themeColor="background1"/>
      <w:sz w:val="36"/>
      <w:szCs w:val="36"/>
    </w:rPr>
  </w:style>
  <w:style w:type="paragraph" w:customStyle="1" w:styleId="Text">
    <w:name w:val="Text"/>
    <w:basedOn w:val="Normal"/>
    <w:uiPriority w:val="3"/>
    <w:qFormat/>
    <w:rsid w:val="00AF4F54"/>
    <w:rPr>
      <w:color w:val="auto"/>
      <w:sz w:val="28"/>
      <w:szCs w:val="2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semiHidden/>
    <w:rsid w:val="0032399A"/>
    <w:pPr>
      <w:tabs>
        <w:tab w:val="center" w:pos="4680"/>
        <w:tab w:val="right" w:pos="9360"/>
      </w:tabs>
    </w:pPr>
  </w:style>
  <w:style w:type="character" w:customStyle="1" w:styleId="FooterChar">
    <w:name w:val="Footer Char"/>
    <w:basedOn w:val="DefaultParagraphFont"/>
    <w:link w:val="Footer"/>
    <w:uiPriority w:val="99"/>
    <w:semiHidden/>
    <w:rsid w:val="001A6F00"/>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AF4F54"/>
    <w:rPr>
      <w:b/>
      <w:color w:val="8AB833" w:themeColor="accent2"/>
      <w:sz w:val="28"/>
      <w:szCs w:val="28"/>
    </w:rPr>
  </w:style>
  <w:style w:type="paragraph" w:styleId="Quote">
    <w:name w:val="Quote"/>
    <w:basedOn w:val="Normal"/>
    <w:next w:val="Normal"/>
    <w:link w:val="QuoteChar"/>
    <w:uiPriority w:val="4"/>
    <w:qFormat/>
    <w:rsid w:val="00AF4F54"/>
    <w:rPr>
      <w:b/>
      <w:color w:val="8AB833" w:themeColor="accent2"/>
      <w:sz w:val="96"/>
      <w:szCs w:val="96"/>
    </w:rPr>
  </w:style>
  <w:style w:type="character" w:customStyle="1" w:styleId="QuoteChar">
    <w:name w:val="Quote Char"/>
    <w:basedOn w:val="DefaultParagraphFont"/>
    <w:link w:val="Quote"/>
    <w:uiPriority w:val="4"/>
    <w:rsid w:val="00AF4F54"/>
    <w:rPr>
      <w:b/>
      <w:color w:val="8AB833" w:themeColor="accent2"/>
      <w:sz w:val="9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qFormat/>
    <w:rsid w:val="00AF4F54"/>
    <w:pPr>
      <w:spacing w:before="360"/>
      <w:contextualSpacing/>
    </w:pPr>
    <w:rPr>
      <w:rFonts w:asciiTheme="majorHAnsi" w:eastAsiaTheme="majorEastAsia" w:hAnsiTheme="majorHAnsi" w:cstheme="majorBidi"/>
      <w:b/>
      <w:spacing w:val="-10"/>
      <w:kern w:val="28"/>
      <w:sz w:val="48"/>
      <w:szCs w:val="56"/>
    </w:rPr>
  </w:style>
  <w:style w:type="character" w:customStyle="1" w:styleId="TitleChar">
    <w:name w:val="Title Char"/>
    <w:basedOn w:val="DefaultParagraphFont"/>
    <w:link w:val="Title"/>
    <w:uiPriority w:val="10"/>
    <w:rsid w:val="00AF4F54"/>
    <w:rPr>
      <w:rFonts w:asciiTheme="majorHAnsi" w:eastAsiaTheme="majorEastAsia" w:hAnsiTheme="majorHAnsi" w:cstheme="majorBidi"/>
      <w:b/>
      <w:color w:val="FFFFFF" w:themeColor="background1"/>
      <w:spacing w:val="-10"/>
      <w:kern w:val="28"/>
      <w:sz w:val="48"/>
      <w:szCs w:val="56"/>
    </w:rPr>
  </w:style>
  <w:style w:type="paragraph" w:styleId="Subtitle">
    <w:name w:val="Subtitle"/>
    <w:basedOn w:val="Normal"/>
    <w:next w:val="Normal"/>
    <w:link w:val="SubtitleChar"/>
    <w:uiPriority w:val="11"/>
    <w:qFormat/>
    <w:rsid w:val="0043454C"/>
    <w:pPr>
      <w:numPr>
        <w:ilvl w:val="1"/>
      </w:numPr>
    </w:pPr>
    <w:rPr>
      <w:rFonts w:asciiTheme="majorHAnsi" w:eastAsiaTheme="minorEastAsia" w:hAnsiTheme="majorHAnsi"/>
      <w:b/>
      <w:color w:val="8AB833" w:themeColor="accent2"/>
      <w:spacing w:val="15"/>
      <w:sz w:val="36"/>
      <w:szCs w:val="22"/>
    </w:rPr>
  </w:style>
  <w:style w:type="character" w:customStyle="1" w:styleId="SubtitleChar">
    <w:name w:val="Subtitle Char"/>
    <w:basedOn w:val="DefaultParagraphFont"/>
    <w:link w:val="Subtitle"/>
    <w:uiPriority w:val="11"/>
    <w:rsid w:val="0043454C"/>
    <w:rPr>
      <w:rFonts w:asciiTheme="majorHAnsi" w:eastAsiaTheme="minorEastAsia" w:hAnsiTheme="majorHAnsi"/>
      <w:b/>
      <w:color w:val="8AB833" w:themeColor="accent2"/>
      <w:spacing w:val="15"/>
      <w:sz w:val="36"/>
      <w:szCs w:val="22"/>
    </w:rPr>
  </w:style>
  <w:style w:type="paragraph" w:customStyle="1" w:styleId="DescriptionHeading">
    <w:name w:val="Description Heading"/>
    <w:basedOn w:val="Text"/>
    <w:uiPriority w:val="6"/>
    <w:qFormat/>
    <w:rsid w:val="00AF4F54"/>
    <w:pPr>
      <w:jc w:val="center"/>
    </w:pPr>
    <w:rPr>
      <w:b/>
      <w:color w:val="FFFFFF" w:themeColor="background1"/>
    </w:rPr>
  </w:style>
  <w:style w:type="paragraph" w:customStyle="1" w:styleId="TextWhite">
    <w:name w:val="Text White"/>
    <w:basedOn w:val="Text"/>
    <w:uiPriority w:val="6"/>
    <w:qFormat/>
    <w:rsid w:val="00AF4F54"/>
    <w:rPr>
      <w:color w:val="FFFFFF" w:themeColor="background1"/>
    </w:rPr>
  </w:style>
  <w:style w:type="paragraph" w:styleId="ListParagraph">
    <w:name w:val="List Paragraph"/>
    <w:basedOn w:val="Normal"/>
    <w:uiPriority w:val="34"/>
    <w:semiHidden/>
    <w:qFormat/>
    <w:rsid w:val="00E55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68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1.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rinT\Documents\Copy%20of%20KRYSTAL_STATS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nT\Documents\Copy%20of%20KRYSTAL_STATS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inT\Documents\Copy%20of%20KRYSTAL_STATS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Service and Funding 5 Year Trend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Sheet2!$A$2</c:f>
              <c:strCache>
                <c:ptCount val="1"/>
                <c:pt idx="0">
                  <c:v>Investigations Completed</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Sheet2!$B$1:$G$1</c:f>
              <c:strCache>
                <c:ptCount val="6"/>
                <c:pt idx="0">
                  <c:v>2016/2017</c:v>
                </c:pt>
                <c:pt idx="1">
                  <c:v>2017/2018</c:v>
                </c:pt>
                <c:pt idx="2">
                  <c:v>2018/2019</c:v>
                </c:pt>
                <c:pt idx="3">
                  <c:v>2019/2020</c:v>
                </c:pt>
                <c:pt idx="4">
                  <c:v>2020/2021</c:v>
                </c:pt>
                <c:pt idx="5">
                  <c:v>2021/2022</c:v>
                </c:pt>
              </c:strCache>
            </c:strRef>
          </c:cat>
          <c:val>
            <c:numRef>
              <c:f>Sheet2!$B$2:$G$2</c:f>
              <c:numCache>
                <c:formatCode>General</c:formatCode>
                <c:ptCount val="6"/>
                <c:pt idx="0">
                  <c:v>1621</c:v>
                </c:pt>
                <c:pt idx="1">
                  <c:v>1335</c:v>
                </c:pt>
                <c:pt idx="2">
                  <c:v>1428</c:v>
                </c:pt>
                <c:pt idx="3">
                  <c:v>1255</c:v>
                </c:pt>
                <c:pt idx="4">
                  <c:v>970</c:v>
                </c:pt>
                <c:pt idx="5">
                  <c:v>1045</c:v>
                </c:pt>
              </c:numCache>
            </c:numRef>
          </c:val>
          <c:extLst>
            <c:ext xmlns:c16="http://schemas.microsoft.com/office/drawing/2014/chart" uri="{C3380CC4-5D6E-409C-BE32-E72D297353CC}">
              <c16:uniqueId val="{00000000-B653-4BCE-8CA3-BD13F1F7C9F6}"/>
            </c:ext>
          </c:extLst>
        </c:ser>
        <c:ser>
          <c:idx val="1"/>
          <c:order val="1"/>
          <c:tx>
            <c:strRef>
              <c:f>Sheet2!$A$3</c:f>
              <c:strCache>
                <c:ptCount val="1"/>
                <c:pt idx="0">
                  <c:v>Ongoing Cases Served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Sheet2!$B$1:$G$1</c:f>
              <c:strCache>
                <c:ptCount val="6"/>
                <c:pt idx="0">
                  <c:v>2016/2017</c:v>
                </c:pt>
                <c:pt idx="1">
                  <c:v>2017/2018</c:v>
                </c:pt>
                <c:pt idx="2">
                  <c:v>2018/2019</c:v>
                </c:pt>
                <c:pt idx="3">
                  <c:v>2019/2020</c:v>
                </c:pt>
                <c:pt idx="4">
                  <c:v>2020/2021</c:v>
                </c:pt>
                <c:pt idx="5">
                  <c:v>2021/2022</c:v>
                </c:pt>
              </c:strCache>
            </c:strRef>
          </c:cat>
          <c:val>
            <c:numRef>
              <c:f>Sheet2!$B$3:$G$3</c:f>
              <c:numCache>
                <c:formatCode>General</c:formatCode>
                <c:ptCount val="6"/>
                <c:pt idx="0">
                  <c:v>591</c:v>
                </c:pt>
                <c:pt idx="1">
                  <c:v>576</c:v>
                </c:pt>
                <c:pt idx="2">
                  <c:v>538</c:v>
                </c:pt>
                <c:pt idx="3">
                  <c:v>442</c:v>
                </c:pt>
                <c:pt idx="4">
                  <c:v>380</c:v>
                </c:pt>
                <c:pt idx="5">
                  <c:v>350</c:v>
                </c:pt>
              </c:numCache>
            </c:numRef>
          </c:val>
          <c:extLst>
            <c:ext xmlns:c16="http://schemas.microsoft.com/office/drawing/2014/chart" uri="{C3380CC4-5D6E-409C-BE32-E72D297353CC}">
              <c16:uniqueId val="{00000001-B653-4BCE-8CA3-BD13F1F7C9F6}"/>
            </c:ext>
          </c:extLst>
        </c:ser>
        <c:dLbls>
          <c:showLegendKey val="0"/>
          <c:showVal val="0"/>
          <c:showCatName val="0"/>
          <c:showSerName val="0"/>
          <c:showPercent val="0"/>
          <c:showBubbleSize val="0"/>
        </c:dLbls>
        <c:gapWidth val="150"/>
        <c:axId val="684454767"/>
        <c:axId val="309670383"/>
      </c:barChart>
      <c:lineChart>
        <c:grouping val="standard"/>
        <c:varyColors val="0"/>
        <c:ser>
          <c:idx val="2"/>
          <c:order val="2"/>
          <c:tx>
            <c:strRef>
              <c:f>Sheet2!$A$4</c:f>
              <c:strCache>
                <c:ptCount val="1"/>
                <c:pt idx="0">
                  <c:v>Total Children in Care Served</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Sheet2!$B$1:$G$1</c:f>
              <c:strCache>
                <c:ptCount val="6"/>
                <c:pt idx="0">
                  <c:v>2016/2017</c:v>
                </c:pt>
                <c:pt idx="1">
                  <c:v>2017/2018</c:v>
                </c:pt>
                <c:pt idx="2">
                  <c:v>2018/2019</c:v>
                </c:pt>
                <c:pt idx="3">
                  <c:v>2019/2020</c:v>
                </c:pt>
                <c:pt idx="4">
                  <c:v>2020/2021</c:v>
                </c:pt>
                <c:pt idx="5">
                  <c:v>2021/2022</c:v>
                </c:pt>
              </c:strCache>
            </c:strRef>
          </c:cat>
          <c:val>
            <c:numRef>
              <c:f>Sheet2!$B$4:$G$4</c:f>
              <c:numCache>
                <c:formatCode>General</c:formatCode>
                <c:ptCount val="6"/>
                <c:pt idx="0">
                  <c:v>314</c:v>
                </c:pt>
                <c:pt idx="1">
                  <c:v>311</c:v>
                </c:pt>
                <c:pt idx="2">
                  <c:v>275</c:v>
                </c:pt>
                <c:pt idx="3">
                  <c:v>247</c:v>
                </c:pt>
                <c:pt idx="4">
                  <c:v>242</c:v>
                </c:pt>
                <c:pt idx="5">
                  <c:v>238</c:v>
                </c:pt>
              </c:numCache>
            </c:numRef>
          </c:val>
          <c:smooth val="0"/>
          <c:extLst>
            <c:ext xmlns:c16="http://schemas.microsoft.com/office/drawing/2014/chart" uri="{C3380CC4-5D6E-409C-BE32-E72D297353CC}">
              <c16:uniqueId val="{00000002-B653-4BCE-8CA3-BD13F1F7C9F6}"/>
            </c:ext>
          </c:extLst>
        </c:ser>
        <c:dLbls>
          <c:showLegendKey val="0"/>
          <c:showVal val="0"/>
          <c:showCatName val="0"/>
          <c:showSerName val="0"/>
          <c:showPercent val="0"/>
          <c:showBubbleSize val="0"/>
        </c:dLbls>
        <c:marker val="1"/>
        <c:smooth val="0"/>
        <c:axId val="684454767"/>
        <c:axId val="309670383"/>
      </c:lineChart>
      <c:lineChart>
        <c:grouping val="standard"/>
        <c:varyColors val="0"/>
        <c:ser>
          <c:idx val="3"/>
          <c:order val="3"/>
          <c:tx>
            <c:strRef>
              <c:f>Sheet2!$A$5</c:f>
              <c:strCache>
                <c:ptCount val="1"/>
                <c:pt idx="0">
                  <c:v>Funding Allocation</c:v>
                </c:pt>
              </c:strCache>
            </c:strRef>
          </c:tx>
          <c:spPr>
            <a:ln w="34925" cap="rnd">
              <a:solidFill>
                <a:schemeClr val="accent6">
                  <a:lumMod val="60000"/>
                </a:schemeClr>
              </a:solidFill>
              <a:round/>
            </a:ln>
            <a:effectLst>
              <a:outerShdw blurRad="57150" dist="19050" dir="5400000" algn="ctr" rotWithShape="0">
                <a:srgbClr val="000000">
                  <a:alpha val="63000"/>
                </a:srgbClr>
              </a:outerShdw>
            </a:effectLst>
          </c:spPr>
          <c:marker>
            <c:symbol val="none"/>
          </c:marker>
          <c:cat>
            <c:strRef>
              <c:f>Sheet2!$B$1:$G$1</c:f>
              <c:strCache>
                <c:ptCount val="6"/>
                <c:pt idx="0">
                  <c:v>2016/2017</c:v>
                </c:pt>
                <c:pt idx="1">
                  <c:v>2017/2018</c:v>
                </c:pt>
                <c:pt idx="2">
                  <c:v>2018/2019</c:v>
                </c:pt>
                <c:pt idx="3">
                  <c:v>2019/2020</c:v>
                </c:pt>
                <c:pt idx="4">
                  <c:v>2020/2021</c:v>
                </c:pt>
                <c:pt idx="5">
                  <c:v>2021/2022</c:v>
                </c:pt>
              </c:strCache>
            </c:strRef>
          </c:cat>
          <c:val>
            <c:numRef>
              <c:f>Sheet2!$B$5:$G$5</c:f>
              <c:numCache>
                <c:formatCode>_("$"* #,##0.00_);_("$"* \(#,##0.00\);_("$"* "-"??_);_(@_)</c:formatCode>
                <c:ptCount val="6"/>
                <c:pt idx="0">
                  <c:v>18753755</c:v>
                </c:pt>
                <c:pt idx="1">
                  <c:v>18883595</c:v>
                </c:pt>
                <c:pt idx="2">
                  <c:v>19135520</c:v>
                </c:pt>
                <c:pt idx="3">
                  <c:v>18899809</c:v>
                </c:pt>
                <c:pt idx="4">
                  <c:v>18576065</c:v>
                </c:pt>
                <c:pt idx="5">
                  <c:v>17029280</c:v>
                </c:pt>
              </c:numCache>
            </c:numRef>
          </c:val>
          <c:smooth val="0"/>
          <c:extLst>
            <c:ext xmlns:c16="http://schemas.microsoft.com/office/drawing/2014/chart" uri="{C3380CC4-5D6E-409C-BE32-E72D297353CC}">
              <c16:uniqueId val="{00000003-B653-4BCE-8CA3-BD13F1F7C9F6}"/>
            </c:ext>
          </c:extLst>
        </c:ser>
        <c:dLbls>
          <c:showLegendKey val="0"/>
          <c:showVal val="0"/>
          <c:showCatName val="0"/>
          <c:showSerName val="0"/>
          <c:showPercent val="0"/>
          <c:showBubbleSize val="0"/>
        </c:dLbls>
        <c:marker val="1"/>
        <c:smooth val="0"/>
        <c:axId val="684462767"/>
        <c:axId val="309672879"/>
      </c:lineChart>
      <c:catAx>
        <c:axId val="684454767"/>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n-US"/>
          </a:p>
        </c:txPr>
        <c:crossAx val="309670383"/>
        <c:crosses val="autoZero"/>
        <c:auto val="1"/>
        <c:lblAlgn val="ctr"/>
        <c:lblOffset val="100"/>
        <c:noMultiLvlLbl val="0"/>
      </c:catAx>
      <c:valAx>
        <c:axId val="30967038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n-US"/>
          </a:p>
        </c:txPr>
        <c:crossAx val="684454767"/>
        <c:crosses val="autoZero"/>
        <c:crossBetween val="between"/>
      </c:valAx>
      <c:valAx>
        <c:axId val="309672879"/>
        <c:scaling>
          <c:orientation val="minMax"/>
        </c:scaling>
        <c:delete val="0"/>
        <c:axPos val="r"/>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n-US"/>
          </a:p>
        </c:txPr>
        <c:crossAx val="684462767"/>
        <c:crosses val="max"/>
        <c:crossBetween val="between"/>
      </c:valAx>
      <c:catAx>
        <c:axId val="684462767"/>
        <c:scaling>
          <c:orientation val="minMax"/>
        </c:scaling>
        <c:delete val="1"/>
        <c:axPos val="b"/>
        <c:numFmt formatCode="General" sourceLinked="1"/>
        <c:majorTickMark val="none"/>
        <c:minorTickMark val="none"/>
        <c:tickLblPos val="nextTo"/>
        <c:crossAx val="309672879"/>
        <c:crosses val="autoZero"/>
        <c:auto val="1"/>
        <c:lblAlgn val="ctr"/>
        <c:lblOffset val="100"/>
        <c:noMultiLvlLbl val="0"/>
      </c:cat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1"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sz="1200"/>
              <a:t>Investigation and Ongoing Case</a:t>
            </a:r>
            <a:r>
              <a:rPr lang="en-CA" sz="1200" baseline="0"/>
              <a:t> Volume</a:t>
            </a:r>
            <a:endParaRPr lang="en-CA" sz="12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Sheet1!$A$2</c:f>
              <c:strCache>
                <c:ptCount val="1"/>
                <c:pt idx="0">
                  <c:v>Investigations Completed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2016/2017</c:v>
                </c:pt>
                <c:pt idx="1">
                  <c:v>2017/2018</c:v>
                </c:pt>
                <c:pt idx="2">
                  <c:v>2018/2019</c:v>
                </c:pt>
                <c:pt idx="3">
                  <c:v>2019/2020</c:v>
                </c:pt>
                <c:pt idx="4">
                  <c:v>2020/2021</c:v>
                </c:pt>
                <c:pt idx="5">
                  <c:v>2021/2022 </c:v>
                </c:pt>
              </c:strCache>
            </c:strRef>
          </c:cat>
          <c:val>
            <c:numRef>
              <c:f>Sheet1!$B$2:$G$2</c:f>
              <c:numCache>
                <c:formatCode>General</c:formatCode>
                <c:ptCount val="6"/>
                <c:pt idx="0">
                  <c:v>1621</c:v>
                </c:pt>
                <c:pt idx="1">
                  <c:v>1335</c:v>
                </c:pt>
                <c:pt idx="2">
                  <c:v>1428</c:v>
                </c:pt>
                <c:pt idx="3">
                  <c:v>1255</c:v>
                </c:pt>
                <c:pt idx="4">
                  <c:v>970</c:v>
                </c:pt>
                <c:pt idx="5">
                  <c:v>1028</c:v>
                </c:pt>
              </c:numCache>
            </c:numRef>
          </c:val>
          <c:extLst>
            <c:ext xmlns:c16="http://schemas.microsoft.com/office/drawing/2014/chart" uri="{C3380CC4-5D6E-409C-BE32-E72D297353CC}">
              <c16:uniqueId val="{00000000-AF11-4351-B26C-197EC8900CE6}"/>
            </c:ext>
          </c:extLst>
        </c:ser>
        <c:ser>
          <c:idx val="1"/>
          <c:order val="1"/>
          <c:tx>
            <c:strRef>
              <c:f>Sheet1!$A$3</c:f>
              <c:strCache>
                <c:ptCount val="1"/>
                <c:pt idx="0">
                  <c:v>Ongoing Cases Served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2016/2017</c:v>
                </c:pt>
                <c:pt idx="1">
                  <c:v>2017/2018</c:v>
                </c:pt>
                <c:pt idx="2">
                  <c:v>2018/2019</c:v>
                </c:pt>
                <c:pt idx="3">
                  <c:v>2019/2020</c:v>
                </c:pt>
                <c:pt idx="4">
                  <c:v>2020/2021</c:v>
                </c:pt>
                <c:pt idx="5">
                  <c:v>2021/2022 </c:v>
                </c:pt>
              </c:strCache>
            </c:strRef>
          </c:cat>
          <c:val>
            <c:numRef>
              <c:f>Sheet1!$B$3:$G$3</c:f>
              <c:numCache>
                <c:formatCode>General</c:formatCode>
                <c:ptCount val="6"/>
                <c:pt idx="0">
                  <c:v>591</c:v>
                </c:pt>
                <c:pt idx="1">
                  <c:v>576</c:v>
                </c:pt>
                <c:pt idx="2">
                  <c:v>538</c:v>
                </c:pt>
                <c:pt idx="3">
                  <c:v>442</c:v>
                </c:pt>
                <c:pt idx="4">
                  <c:v>380</c:v>
                </c:pt>
                <c:pt idx="5">
                  <c:v>351</c:v>
                </c:pt>
              </c:numCache>
            </c:numRef>
          </c:val>
          <c:extLst>
            <c:ext xmlns:c16="http://schemas.microsoft.com/office/drawing/2014/chart" uri="{C3380CC4-5D6E-409C-BE32-E72D297353CC}">
              <c16:uniqueId val="{00000001-AF11-4351-B26C-197EC8900CE6}"/>
            </c:ext>
          </c:extLst>
        </c:ser>
        <c:dLbls>
          <c:dLblPos val="ctr"/>
          <c:showLegendKey val="0"/>
          <c:showVal val="1"/>
          <c:showCatName val="0"/>
          <c:showSerName val="0"/>
          <c:showPercent val="0"/>
          <c:showBubbleSize val="0"/>
        </c:dLbls>
        <c:gapWidth val="150"/>
        <c:overlap val="100"/>
        <c:serLines>
          <c:spPr>
            <a:ln w="9525" cap="flat" cmpd="sng" algn="ctr">
              <a:solidFill>
                <a:schemeClr val="lt1">
                  <a:lumMod val="95000"/>
                  <a:alpha val="54000"/>
                </a:schemeClr>
              </a:solidFill>
              <a:round/>
            </a:ln>
            <a:effectLst/>
          </c:spPr>
        </c:serLines>
        <c:axId val="1636756575"/>
        <c:axId val="1642210831"/>
        <c:extLst>
          <c:ext xmlns:c15="http://schemas.microsoft.com/office/drawing/2012/chart" uri="{02D57815-91ED-43cb-92C2-25804820EDAC}">
            <c15:filteredBarSeries>
              <c15:ser>
                <c:idx val="2"/>
                <c:order val="2"/>
                <c:tx>
                  <c:strRef>
                    <c:extLst>
                      <c:ext uri="{02D57815-91ED-43cb-92C2-25804820EDAC}">
                        <c15:formulaRef>
                          <c15:sqref>Sheet1!$A$4</c15:sqref>
                        </c15:formulaRef>
                      </c:ext>
                    </c:extLst>
                    <c:strCache>
                      <c:ptCount val="1"/>
                      <c:pt idx="0">
                        <c:v>Community Links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Sheet1!$B$1:$G$1</c15:sqref>
                        </c15:formulaRef>
                      </c:ext>
                    </c:extLst>
                    <c:strCache>
                      <c:ptCount val="6"/>
                      <c:pt idx="0">
                        <c:v>2016/2017</c:v>
                      </c:pt>
                      <c:pt idx="1">
                        <c:v>2017/2018</c:v>
                      </c:pt>
                      <c:pt idx="2">
                        <c:v>2018/2019</c:v>
                      </c:pt>
                      <c:pt idx="3">
                        <c:v>2019/2020</c:v>
                      </c:pt>
                      <c:pt idx="4">
                        <c:v>2020/2021</c:v>
                      </c:pt>
                      <c:pt idx="5">
                        <c:v>2021/2022 </c:v>
                      </c:pt>
                    </c:strCache>
                  </c:strRef>
                </c:cat>
                <c:val>
                  <c:numRef>
                    <c:extLst>
                      <c:ext uri="{02D57815-91ED-43cb-92C2-25804820EDAC}">
                        <c15:formulaRef>
                          <c15:sqref>Sheet1!$B$4:$G$4</c15:sqref>
                        </c15:formulaRef>
                      </c:ext>
                    </c:extLst>
                    <c:numCache>
                      <c:formatCode>General</c:formatCode>
                      <c:ptCount val="6"/>
                      <c:pt idx="0">
                        <c:v>102</c:v>
                      </c:pt>
                      <c:pt idx="1">
                        <c:v>77</c:v>
                      </c:pt>
                      <c:pt idx="2">
                        <c:v>146</c:v>
                      </c:pt>
                      <c:pt idx="3">
                        <c:v>109</c:v>
                      </c:pt>
                      <c:pt idx="4">
                        <c:v>192</c:v>
                      </c:pt>
                      <c:pt idx="5">
                        <c:v>191</c:v>
                      </c:pt>
                    </c:numCache>
                  </c:numRef>
                </c:val>
                <c:extLst>
                  <c:ext xmlns:c16="http://schemas.microsoft.com/office/drawing/2014/chart" uri="{C3380CC4-5D6E-409C-BE32-E72D297353CC}">
                    <c16:uniqueId val="{00000002-AF11-4351-B26C-197EC8900C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Admission Prevention</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Sheet1!$B$1:$G$1</c15:sqref>
                        </c15:formulaRef>
                      </c:ext>
                    </c:extLst>
                    <c:strCache>
                      <c:ptCount val="6"/>
                      <c:pt idx="0">
                        <c:v>2016/2017</c:v>
                      </c:pt>
                      <c:pt idx="1">
                        <c:v>2017/2018</c:v>
                      </c:pt>
                      <c:pt idx="2">
                        <c:v>2018/2019</c:v>
                      </c:pt>
                      <c:pt idx="3">
                        <c:v>2019/2020</c:v>
                      </c:pt>
                      <c:pt idx="4">
                        <c:v>2020/2021</c:v>
                      </c:pt>
                      <c:pt idx="5">
                        <c:v>2021/2022 </c:v>
                      </c:pt>
                    </c:strCache>
                  </c:strRef>
                </c:cat>
                <c:val>
                  <c:numRef>
                    <c:extLst xmlns:c15="http://schemas.microsoft.com/office/drawing/2012/chart">
                      <c:ext xmlns:c15="http://schemas.microsoft.com/office/drawing/2012/chart" uri="{02D57815-91ED-43cb-92C2-25804820EDAC}">
                        <c15:formulaRef>
                          <c15:sqref>Sheet1!$B$5:$G$5</c15:sqref>
                        </c15:formulaRef>
                      </c:ext>
                    </c:extLst>
                    <c:numCache>
                      <c:formatCode>General</c:formatCode>
                      <c:ptCount val="6"/>
                      <c:pt idx="0">
                        <c:v>53</c:v>
                      </c:pt>
                      <c:pt idx="1">
                        <c:v>125</c:v>
                      </c:pt>
                      <c:pt idx="2">
                        <c:v>113</c:v>
                      </c:pt>
                      <c:pt idx="3">
                        <c:v>160</c:v>
                      </c:pt>
                      <c:pt idx="4">
                        <c:v>130</c:v>
                      </c:pt>
                      <c:pt idx="5">
                        <c:v>209</c:v>
                      </c:pt>
                    </c:numCache>
                  </c:numRef>
                </c:val>
                <c:extLst xmlns:c15="http://schemas.microsoft.com/office/drawing/2012/chart">
                  <c:ext xmlns:c16="http://schemas.microsoft.com/office/drawing/2014/chart" uri="{C3380CC4-5D6E-409C-BE32-E72D297353CC}">
                    <c16:uniqueId val="{00000003-AF11-4351-B26C-197EC8900CE6}"/>
                  </c:ext>
                </c:extLst>
              </c15:ser>
            </c15:filteredBarSeries>
          </c:ext>
        </c:extLst>
      </c:barChart>
      <c:catAx>
        <c:axId val="1636756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42210831"/>
        <c:crosses val="autoZero"/>
        <c:auto val="1"/>
        <c:lblAlgn val="ctr"/>
        <c:lblOffset val="100"/>
        <c:noMultiLvlLbl val="0"/>
      </c:catAx>
      <c:valAx>
        <c:axId val="1642210831"/>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6756575"/>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CA"/>
              <a:t>In-Care Service Trends by Case Type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1"/>
          <c:order val="1"/>
          <c:tx>
            <c:strRef>
              <c:f>Sheet1!$A$13</c:f>
              <c:strCache>
                <c:ptCount val="1"/>
                <c:pt idx="0">
                  <c:v>Children in Care of the Society</c:v>
                </c:pt>
              </c:strCache>
            </c:strRef>
          </c:tx>
          <c:spPr>
            <a:ln w="22225" cap="rnd">
              <a:solidFill>
                <a:schemeClr val="bg2">
                  <a:lumMod val="75000"/>
                </a:schemeClr>
              </a:solidFill>
            </a:ln>
            <a:effectLst>
              <a:glow rad="139700">
                <a:schemeClr val="accent3">
                  <a:satMod val="175000"/>
                  <a:alpha val="14000"/>
                </a:schemeClr>
              </a:glow>
            </a:effectLst>
          </c:spPr>
          <c:marker>
            <c:symbol val="none"/>
          </c:marker>
          <c:cat>
            <c:strRef>
              <c:f>Sheet1!$B$1:$G$1</c:f>
              <c:strCache>
                <c:ptCount val="6"/>
                <c:pt idx="0">
                  <c:v>2016/2017</c:v>
                </c:pt>
                <c:pt idx="1">
                  <c:v>2017/2018</c:v>
                </c:pt>
                <c:pt idx="2">
                  <c:v>2018/2019</c:v>
                </c:pt>
                <c:pt idx="3">
                  <c:v>2019/2020</c:v>
                </c:pt>
                <c:pt idx="4">
                  <c:v>2020/2021</c:v>
                </c:pt>
                <c:pt idx="5">
                  <c:v>2021/2022 </c:v>
                </c:pt>
              </c:strCache>
            </c:strRef>
          </c:cat>
          <c:val>
            <c:numRef>
              <c:f>Sheet1!$B$13:$G$13</c:f>
              <c:numCache>
                <c:formatCode>General</c:formatCode>
                <c:ptCount val="6"/>
                <c:pt idx="0">
                  <c:v>57</c:v>
                </c:pt>
                <c:pt idx="1">
                  <c:v>73</c:v>
                </c:pt>
                <c:pt idx="2">
                  <c:v>74</c:v>
                </c:pt>
                <c:pt idx="3">
                  <c:v>45</c:v>
                </c:pt>
                <c:pt idx="4">
                  <c:v>43</c:v>
                </c:pt>
                <c:pt idx="5">
                  <c:v>44</c:v>
                </c:pt>
              </c:numCache>
            </c:numRef>
          </c:val>
          <c:smooth val="0"/>
          <c:extLst>
            <c:ext xmlns:c16="http://schemas.microsoft.com/office/drawing/2014/chart" uri="{C3380CC4-5D6E-409C-BE32-E72D297353CC}">
              <c16:uniqueId val="{00000000-058F-4E33-B351-72326CFDE254}"/>
            </c:ext>
          </c:extLst>
        </c:ser>
        <c:ser>
          <c:idx val="2"/>
          <c:order val="2"/>
          <c:tx>
            <c:strRef>
              <c:f>Sheet1!$A$14</c:f>
              <c:strCache>
                <c:ptCount val="1"/>
                <c:pt idx="0">
                  <c:v>Continued Care and Youth Support</c:v>
                </c:pt>
              </c:strCache>
            </c:strRef>
          </c:tx>
          <c:spPr>
            <a:ln w="22225" cap="rnd">
              <a:solidFill>
                <a:schemeClr val="accent5"/>
              </a:solidFill>
            </a:ln>
            <a:effectLst>
              <a:glow rad="139700">
                <a:schemeClr val="accent5">
                  <a:satMod val="175000"/>
                  <a:alpha val="14000"/>
                </a:schemeClr>
              </a:glow>
            </a:effectLst>
          </c:spPr>
          <c:marker>
            <c:symbol val="none"/>
          </c:marker>
          <c:cat>
            <c:strRef>
              <c:f>Sheet1!$B$1:$G$1</c:f>
              <c:strCache>
                <c:ptCount val="6"/>
                <c:pt idx="0">
                  <c:v>2016/2017</c:v>
                </c:pt>
                <c:pt idx="1">
                  <c:v>2017/2018</c:v>
                </c:pt>
                <c:pt idx="2">
                  <c:v>2018/2019</c:v>
                </c:pt>
                <c:pt idx="3">
                  <c:v>2019/2020</c:v>
                </c:pt>
                <c:pt idx="4">
                  <c:v>2020/2021</c:v>
                </c:pt>
                <c:pt idx="5">
                  <c:v>2021/2022 </c:v>
                </c:pt>
              </c:strCache>
            </c:strRef>
          </c:cat>
          <c:val>
            <c:numRef>
              <c:f>Sheet1!$B$14:$G$14</c:f>
              <c:numCache>
                <c:formatCode>General</c:formatCode>
                <c:ptCount val="6"/>
                <c:pt idx="0">
                  <c:v>38</c:v>
                </c:pt>
                <c:pt idx="1">
                  <c:v>34</c:v>
                </c:pt>
                <c:pt idx="2">
                  <c:v>25</c:v>
                </c:pt>
                <c:pt idx="3">
                  <c:v>22</c:v>
                </c:pt>
                <c:pt idx="4">
                  <c:v>27</c:v>
                </c:pt>
                <c:pt idx="5">
                  <c:v>31</c:v>
                </c:pt>
              </c:numCache>
            </c:numRef>
          </c:val>
          <c:smooth val="0"/>
          <c:extLst>
            <c:ext xmlns:c16="http://schemas.microsoft.com/office/drawing/2014/chart" uri="{C3380CC4-5D6E-409C-BE32-E72D297353CC}">
              <c16:uniqueId val="{00000001-058F-4E33-B351-72326CFDE254}"/>
            </c:ext>
          </c:extLst>
        </c:ser>
        <c:ser>
          <c:idx val="3"/>
          <c:order val="3"/>
          <c:tx>
            <c:strRef>
              <c:f>Sheet1!$A$15</c:f>
              <c:strCache>
                <c:ptCount val="1"/>
                <c:pt idx="0">
                  <c:v>Formal Customary Care</c:v>
                </c:pt>
              </c:strCache>
            </c:strRef>
          </c:tx>
          <c:spPr>
            <a:ln w="22225" cap="rnd">
              <a:solidFill>
                <a:schemeClr val="accent1">
                  <a:lumMod val="60000"/>
                </a:schemeClr>
              </a:solidFill>
            </a:ln>
            <a:effectLst>
              <a:glow rad="139700">
                <a:schemeClr val="accent1">
                  <a:lumMod val="60000"/>
                  <a:satMod val="175000"/>
                  <a:alpha val="14000"/>
                </a:schemeClr>
              </a:glow>
            </a:effectLst>
          </c:spPr>
          <c:marker>
            <c:symbol val="none"/>
          </c:marker>
          <c:cat>
            <c:strRef>
              <c:f>Sheet1!$B$1:$G$1</c:f>
              <c:strCache>
                <c:ptCount val="6"/>
                <c:pt idx="0">
                  <c:v>2016/2017</c:v>
                </c:pt>
                <c:pt idx="1">
                  <c:v>2017/2018</c:v>
                </c:pt>
                <c:pt idx="2">
                  <c:v>2018/2019</c:v>
                </c:pt>
                <c:pt idx="3">
                  <c:v>2019/2020</c:v>
                </c:pt>
                <c:pt idx="4">
                  <c:v>2020/2021</c:v>
                </c:pt>
                <c:pt idx="5">
                  <c:v>2021/2022 </c:v>
                </c:pt>
              </c:strCache>
            </c:strRef>
          </c:cat>
          <c:val>
            <c:numRef>
              <c:f>Sheet1!$B$15:$G$15</c:f>
              <c:numCache>
                <c:formatCode>General</c:formatCode>
                <c:ptCount val="6"/>
                <c:pt idx="0">
                  <c:v>4</c:v>
                </c:pt>
                <c:pt idx="1">
                  <c:v>7</c:v>
                </c:pt>
                <c:pt idx="2">
                  <c:v>11</c:v>
                </c:pt>
                <c:pt idx="3">
                  <c:v>19</c:v>
                </c:pt>
                <c:pt idx="4">
                  <c:v>32</c:v>
                </c:pt>
                <c:pt idx="5">
                  <c:v>23</c:v>
                </c:pt>
              </c:numCache>
            </c:numRef>
          </c:val>
          <c:smooth val="0"/>
          <c:extLst>
            <c:ext xmlns:c16="http://schemas.microsoft.com/office/drawing/2014/chart" uri="{C3380CC4-5D6E-409C-BE32-E72D297353CC}">
              <c16:uniqueId val="{00000002-058F-4E33-B351-72326CFDE254}"/>
            </c:ext>
          </c:extLst>
        </c:ser>
        <c:ser>
          <c:idx val="4"/>
          <c:order val="4"/>
          <c:tx>
            <c:strRef>
              <c:f>Sheet1!$A$16</c:f>
              <c:strCache>
                <c:ptCount val="1"/>
                <c:pt idx="0">
                  <c:v>Extended Society Care with and without Access</c:v>
                </c:pt>
              </c:strCache>
            </c:strRef>
          </c:tx>
          <c:spPr>
            <a:ln w="22225" cap="rnd">
              <a:solidFill>
                <a:schemeClr val="accent3">
                  <a:lumMod val="60000"/>
                </a:schemeClr>
              </a:solidFill>
            </a:ln>
            <a:effectLst>
              <a:glow rad="139700">
                <a:schemeClr val="accent3">
                  <a:lumMod val="60000"/>
                  <a:satMod val="175000"/>
                  <a:alpha val="14000"/>
                </a:schemeClr>
              </a:glow>
            </a:effectLst>
          </c:spPr>
          <c:marker>
            <c:symbol val="none"/>
          </c:marker>
          <c:cat>
            <c:strRef>
              <c:f>Sheet1!$B$1:$G$1</c:f>
              <c:strCache>
                <c:ptCount val="6"/>
                <c:pt idx="0">
                  <c:v>2016/2017</c:v>
                </c:pt>
                <c:pt idx="1">
                  <c:v>2017/2018</c:v>
                </c:pt>
                <c:pt idx="2">
                  <c:v>2018/2019</c:v>
                </c:pt>
                <c:pt idx="3">
                  <c:v>2019/2020</c:v>
                </c:pt>
                <c:pt idx="4">
                  <c:v>2020/2021</c:v>
                </c:pt>
                <c:pt idx="5">
                  <c:v>2021/2022 </c:v>
                </c:pt>
              </c:strCache>
            </c:strRef>
          </c:cat>
          <c:val>
            <c:numRef>
              <c:f>Sheet1!$B$16:$G$16</c:f>
              <c:numCache>
                <c:formatCode>General</c:formatCode>
                <c:ptCount val="6"/>
                <c:pt idx="0">
                  <c:v>94</c:v>
                </c:pt>
                <c:pt idx="1">
                  <c:v>67</c:v>
                </c:pt>
                <c:pt idx="2">
                  <c:v>49</c:v>
                </c:pt>
                <c:pt idx="3">
                  <c:v>46</c:v>
                </c:pt>
                <c:pt idx="4">
                  <c:v>43</c:v>
                </c:pt>
                <c:pt idx="5">
                  <c:v>34</c:v>
                </c:pt>
              </c:numCache>
            </c:numRef>
          </c:val>
          <c:smooth val="0"/>
          <c:extLst>
            <c:ext xmlns:c16="http://schemas.microsoft.com/office/drawing/2014/chart" uri="{C3380CC4-5D6E-409C-BE32-E72D297353CC}">
              <c16:uniqueId val="{00000003-058F-4E33-B351-72326CFDE254}"/>
            </c:ext>
          </c:extLst>
        </c:ser>
        <c:ser>
          <c:idx val="5"/>
          <c:order val="5"/>
          <c:tx>
            <c:strRef>
              <c:f>Sheet1!$A$17</c:f>
              <c:strCache>
                <c:ptCount val="1"/>
                <c:pt idx="0">
                  <c:v>Voluntary Youth Service Agreements</c:v>
                </c:pt>
              </c:strCache>
            </c:strRef>
          </c:tx>
          <c:spPr>
            <a:ln w="22225" cap="rnd">
              <a:solidFill>
                <a:schemeClr val="accent5">
                  <a:lumMod val="60000"/>
                </a:schemeClr>
              </a:solidFill>
            </a:ln>
            <a:effectLst>
              <a:glow rad="139700">
                <a:schemeClr val="accent5">
                  <a:lumMod val="60000"/>
                  <a:satMod val="175000"/>
                  <a:alpha val="14000"/>
                </a:schemeClr>
              </a:glow>
            </a:effectLst>
          </c:spPr>
          <c:marker>
            <c:symbol val="none"/>
          </c:marker>
          <c:cat>
            <c:strRef>
              <c:f>Sheet1!$B$1:$G$1</c:f>
              <c:strCache>
                <c:ptCount val="6"/>
                <c:pt idx="0">
                  <c:v>2016/2017</c:v>
                </c:pt>
                <c:pt idx="1">
                  <c:v>2017/2018</c:v>
                </c:pt>
                <c:pt idx="2">
                  <c:v>2018/2019</c:v>
                </c:pt>
                <c:pt idx="3">
                  <c:v>2019/2020</c:v>
                </c:pt>
                <c:pt idx="4">
                  <c:v>2020/2021</c:v>
                </c:pt>
                <c:pt idx="5">
                  <c:v>2021/2022 </c:v>
                </c:pt>
              </c:strCache>
            </c:strRef>
          </c:cat>
          <c:val>
            <c:numRef>
              <c:f>Sheet1!$B$17:$G$17</c:f>
              <c:numCache>
                <c:formatCode>General</c:formatCode>
                <c:ptCount val="6"/>
                <c:pt idx="0">
                  <c:v>0</c:v>
                </c:pt>
                <c:pt idx="1">
                  <c:v>0</c:v>
                </c:pt>
                <c:pt idx="2">
                  <c:v>3</c:v>
                </c:pt>
                <c:pt idx="3">
                  <c:v>6</c:v>
                </c:pt>
                <c:pt idx="4">
                  <c:v>10</c:v>
                </c:pt>
                <c:pt idx="5">
                  <c:v>8</c:v>
                </c:pt>
              </c:numCache>
            </c:numRef>
          </c:val>
          <c:smooth val="0"/>
          <c:extLst>
            <c:ext xmlns:c16="http://schemas.microsoft.com/office/drawing/2014/chart" uri="{C3380CC4-5D6E-409C-BE32-E72D297353CC}">
              <c16:uniqueId val="{00000004-058F-4E33-B351-72326CFDE254}"/>
            </c:ext>
          </c:extLst>
        </c:ser>
        <c:ser>
          <c:idx val="6"/>
          <c:order val="6"/>
          <c:tx>
            <c:strRef>
              <c:f>Sheet1!$A$18</c:f>
              <c:strCache>
                <c:ptCount val="1"/>
                <c:pt idx="0">
                  <c:v>Children in Kinship Service (out of care)</c:v>
                </c:pt>
              </c:strCache>
            </c:strRef>
          </c:tx>
          <c:spPr>
            <a:ln w="22225" cap="rnd">
              <a:solidFill>
                <a:schemeClr val="bg1">
                  <a:lumMod val="85000"/>
                </a:schemeClr>
              </a:solidFill>
            </a:ln>
            <a:effectLst>
              <a:glow rad="139700">
                <a:schemeClr val="accent1">
                  <a:lumMod val="80000"/>
                  <a:lumOff val="20000"/>
                  <a:satMod val="175000"/>
                  <a:alpha val="14000"/>
                </a:schemeClr>
              </a:glow>
            </a:effectLst>
          </c:spPr>
          <c:marker>
            <c:symbol val="none"/>
          </c:marker>
          <c:val>
            <c:numRef>
              <c:f>Sheet1!$B$18:$G$18</c:f>
              <c:numCache>
                <c:formatCode>General</c:formatCode>
                <c:ptCount val="6"/>
                <c:pt idx="0">
                  <c:v>38</c:v>
                </c:pt>
                <c:pt idx="1">
                  <c:v>41</c:v>
                </c:pt>
                <c:pt idx="2">
                  <c:v>65</c:v>
                </c:pt>
                <c:pt idx="3">
                  <c:v>90</c:v>
                </c:pt>
                <c:pt idx="4">
                  <c:v>96</c:v>
                </c:pt>
                <c:pt idx="5">
                  <c:v>73</c:v>
                </c:pt>
              </c:numCache>
            </c:numRef>
          </c:val>
          <c:smooth val="0"/>
          <c:extLst>
            <c:ext xmlns:c16="http://schemas.microsoft.com/office/drawing/2014/chart" uri="{C3380CC4-5D6E-409C-BE32-E72D297353CC}">
              <c16:uniqueId val="{00000005-058F-4E33-B351-72326CFDE254}"/>
            </c:ext>
          </c:extLst>
        </c:ser>
        <c:dLbls>
          <c:showLegendKey val="0"/>
          <c:showVal val="0"/>
          <c:showCatName val="0"/>
          <c:showSerName val="0"/>
          <c:showPercent val="0"/>
          <c:showBubbleSize val="0"/>
        </c:dLbls>
        <c:smooth val="0"/>
        <c:axId val="18048735"/>
        <c:axId val="10657263"/>
        <c:extLst>
          <c:ext xmlns:c15="http://schemas.microsoft.com/office/drawing/2012/chart" uri="{02D57815-91ED-43cb-92C2-25804820EDAC}">
            <c15:filteredLineSeries>
              <c15:ser>
                <c:idx val="0"/>
                <c:order val="0"/>
                <c:tx>
                  <c:strRef>
                    <c:extLst>
                      <c:ext uri="{02D57815-91ED-43cb-92C2-25804820EDAC}">
                        <c15:formulaRef>
                          <c15:sqref>Sheet1!$A$1</c15:sqref>
                        </c15:formulaRef>
                      </c:ext>
                    </c:extLst>
                    <c:strCache>
                      <c:ptCount val="1"/>
                    </c:strCache>
                  </c:strRef>
                </c:tx>
                <c:spPr>
                  <a:ln w="22225" cap="rnd">
                    <a:solidFill>
                      <a:schemeClr val="accent1"/>
                    </a:solidFill>
                  </a:ln>
                  <a:effectLst>
                    <a:glow rad="139700">
                      <a:schemeClr val="accent1">
                        <a:satMod val="175000"/>
                        <a:alpha val="14000"/>
                      </a:schemeClr>
                    </a:glow>
                  </a:effectLst>
                </c:spPr>
                <c:marker>
                  <c:symbol val="none"/>
                </c:marker>
                <c:cat>
                  <c:strRef>
                    <c:extLst>
                      <c:ext uri="{02D57815-91ED-43cb-92C2-25804820EDAC}">
                        <c15:formulaRef>
                          <c15:sqref>Sheet1!$B$1:$G$1</c15:sqref>
                        </c15:formulaRef>
                      </c:ext>
                    </c:extLst>
                    <c:strCache>
                      <c:ptCount val="6"/>
                      <c:pt idx="0">
                        <c:v>2016/2017</c:v>
                      </c:pt>
                      <c:pt idx="1">
                        <c:v>2017/2018</c:v>
                      </c:pt>
                      <c:pt idx="2">
                        <c:v>2018/2019</c:v>
                      </c:pt>
                      <c:pt idx="3">
                        <c:v>2019/2020</c:v>
                      </c:pt>
                      <c:pt idx="4">
                        <c:v>2020/2021</c:v>
                      </c:pt>
                      <c:pt idx="5">
                        <c:v>2021/2022 </c:v>
                      </c:pt>
                    </c:strCache>
                  </c:strRef>
                </c:cat>
                <c:val>
                  <c:numRef>
                    <c:extLst>
                      <c:ext uri="{02D57815-91ED-43cb-92C2-25804820EDAC}">
                        <c15:formulaRef>
                          <c15:sqref>Sheet1!$B$1:$F$1</c15:sqref>
                        </c15:formulaRef>
                      </c:ext>
                    </c:extLst>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6-058F-4E33-B351-72326CFDE254}"/>
                  </c:ext>
                </c:extLst>
              </c15:ser>
            </c15:filteredLineSeries>
          </c:ext>
        </c:extLst>
      </c:lineChart>
      <c:catAx>
        <c:axId val="180487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657263"/>
        <c:crosses val="autoZero"/>
        <c:auto val="1"/>
        <c:lblAlgn val="ctr"/>
        <c:lblOffset val="100"/>
        <c:noMultiLvlLbl val="0"/>
      </c:catAx>
      <c:valAx>
        <c:axId val="10657263"/>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8048735"/>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en-US"/>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Kinship Service 5 Year Trend</a:t>
            </a:r>
          </a:p>
        </c:rich>
      </c:tx>
      <c:layout>
        <c:manualLayout>
          <c:xMode val="edge"/>
          <c:yMode val="edge"/>
          <c:x val="0.17286789151356077"/>
          <c:y val="4.629629629629629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stacked"/>
        <c:varyColors val="0"/>
        <c:ser>
          <c:idx val="0"/>
          <c:order val="0"/>
          <c:tx>
            <c:strRef>
              <c:f>Sheet1!$A$8</c:f>
              <c:strCache>
                <c:ptCount val="1"/>
                <c:pt idx="0">
                  <c:v># of Kinship Service Families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2016/2017</c:v>
                </c:pt>
                <c:pt idx="1">
                  <c:v>2017/2018</c:v>
                </c:pt>
                <c:pt idx="2">
                  <c:v>2018/2019</c:v>
                </c:pt>
                <c:pt idx="3">
                  <c:v>2019/2020</c:v>
                </c:pt>
                <c:pt idx="4">
                  <c:v>2020/2021</c:v>
                </c:pt>
                <c:pt idx="5">
                  <c:v>2021/2022 </c:v>
                </c:pt>
              </c:strCache>
            </c:strRef>
          </c:cat>
          <c:val>
            <c:numRef>
              <c:f>Sheet1!$B$8:$G$8</c:f>
              <c:numCache>
                <c:formatCode>General</c:formatCode>
                <c:ptCount val="6"/>
                <c:pt idx="0">
                  <c:v>23</c:v>
                </c:pt>
                <c:pt idx="1">
                  <c:v>19</c:v>
                </c:pt>
                <c:pt idx="2">
                  <c:v>31</c:v>
                </c:pt>
                <c:pt idx="3">
                  <c:v>51</c:v>
                </c:pt>
                <c:pt idx="4">
                  <c:v>55</c:v>
                </c:pt>
                <c:pt idx="5">
                  <c:v>41</c:v>
                </c:pt>
              </c:numCache>
            </c:numRef>
          </c:val>
          <c:extLst>
            <c:ext xmlns:c16="http://schemas.microsoft.com/office/drawing/2014/chart" uri="{C3380CC4-5D6E-409C-BE32-E72D297353CC}">
              <c16:uniqueId val="{00000000-1248-4FB4-AAA4-064D52D32D67}"/>
            </c:ext>
          </c:extLst>
        </c:ser>
        <c:ser>
          <c:idx val="1"/>
          <c:order val="1"/>
          <c:tx>
            <c:strRef>
              <c:f>Sheet1!$A$9</c:f>
              <c:strCache>
                <c:ptCount val="1"/>
                <c:pt idx="0">
                  <c:v>Children in KS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2016/2017</c:v>
                </c:pt>
                <c:pt idx="1">
                  <c:v>2017/2018</c:v>
                </c:pt>
                <c:pt idx="2">
                  <c:v>2018/2019</c:v>
                </c:pt>
                <c:pt idx="3">
                  <c:v>2019/2020</c:v>
                </c:pt>
                <c:pt idx="4">
                  <c:v>2020/2021</c:v>
                </c:pt>
                <c:pt idx="5">
                  <c:v>2021/2022 </c:v>
                </c:pt>
              </c:strCache>
            </c:strRef>
          </c:cat>
          <c:val>
            <c:numRef>
              <c:f>Sheet1!$B$9:$G$9</c:f>
              <c:numCache>
                <c:formatCode>General</c:formatCode>
                <c:ptCount val="6"/>
                <c:pt idx="0">
                  <c:v>38</c:v>
                </c:pt>
                <c:pt idx="1">
                  <c:v>41</c:v>
                </c:pt>
                <c:pt idx="2">
                  <c:v>65</c:v>
                </c:pt>
                <c:pt idx="3">
                  <c:v>90</c:v>
                </c:pt>
                <c:pt idx="4">
                  <c:v>96</c:v>
                </c:pt>
                <c:pt idx="5">
                  <c:v>73</c:v>
                </c:pt>
              </c:numCache>
            </c:numRef>
          </c:val>
          <c:extLst>
            <c:ext xmlns:c16="http://schemas.microsoft.com/office/drawing/2014/chart" uri="{C3380CC4-5D6E-409C-BE32-E72D297353CC}">
              <c16:uniqueId val="{00000001-1248-4FB4-AAA4-064D52D32D67}"/>
            </c:ext>
          </c:extLst>
        </c:ser>
        <c:ser>
          <c:idx val="2"/>
          <c:order val="2"/>
          <c:tx>
            <c:strRef>
              <c:f>Sheet1!$A$10</c:f>
              <c:strCache>
                <c:ptCount val="1"/>
                <c:pt idx="0">
                  <c:v>Homestudies completed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2016/2017</c:v>
                </c:pt>
                <c:pt idx="1">
                  <c:v>2017/2018</c:v>
                </c:pt>
                <c:pt idx="2">
                  <c:v>2018/2019</c:v>
                </c:pt>
                <c:pt idx="3">
                  <c:v>2019/2020</c:v>
                </c:pt>
                <c:pt idx="4">
                  <c:v>2020/2021</c:v>
                </c:pt>
                <c:pt idx="5">
                  <c:v>2021/2022 </c:v>
                </c:pt>
              </c:strCache>
            </c:strRef>
          </c:cat>
          <c:val>
            <c:numRef>
              <c:f>Sheet1!$B$10:$G$10</c:f>
              <c:numCache>
                <c:formatCode>General</c:formatCode>
                <c:ptCount val="6"/>
                <c:pt idx="0">
                  <c:v>83</c:v>
                </c:pt>
                <c:pt idx="1">
                  <c:v>72</c:v>
                </c:pt>
                <c:pt idx="2">
                  <c:v>96</c:v>
                </c:pt>
                <c:pt idx="3">
                  <c:v>67</c:v>
                </c:pt>
                <c:pt idx="4">
                  <c:v>38</c:v>
                </c:pt>
                <c:pt idx="5">
                  <c:v>46</c:v>
                </c:pt>
              </c:numCache>
            </c:numRef>
          </c:val>
          <c:extLst>
            <c:ext xmlns:c16="http://schemas.microsoft.com/office/drawing/2014/chart" uri="{C3380CC4-5D6E-409C-BE32-E72D297353CC}">
              <c16:uniqueId val="{00000002-1248-4FB4-AAA4-064D52D32D67}"/>
            </c:ext>
          </c:extLst>
        </c:ser>
        <c:dLbls>
          <c:dLblPos val="ctr"/>
          <c:showLegendKey val="0"/>
          <c:showVal val="1"/>
          <c:showCatName val="0"/>
          <c:showSerName val="0"/>
          <c:showPercent val="0"/>
          <c:showBubbleSize val="0"/>
        </c:dLbls>
        <c:gapWidth val="150"/>
        <c:overlap val="100"/>
        <c:axId val="32457967"/>
        <c:axId val="1641710607"/>
      </c:barChart>
      <c:catAx>
        <c:axId val="32457967"/>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41710607"/>
        <c:crosses val="autoZero"/>
        <c:auto val="1"/>
        <c:lblAlgn val="ctr"/>
        <c:lblOffset val="100"/>
        <c:noMultiLvlLbl val="0"/>
      </c:catAx>
      <c:valAx>
        <c:axId val="1641710607"/>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24579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Inconsolata" panose="00000509000000000000" pitchFamily="49"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BBR">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43932-8BE5-4A11-9D30-69AEBB673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C938F-0932-4C0A-BC54-04F30C423DE7}">
  <ds:schemaRefs>
    <ds:schemaRef ds:uri="http://www.w3.org/XML/1998/namespace"/>
    <ds:schemaRef ds:uri="16c05727-aa75-4e4a-9b5f-8a80a1165891"/>
    <ds:schemaRef ds:uri="http://purl.org/dc/terms/"/>
    <ds:schemaRef ds:uri="71af3243-3dd4-4a8d-8c0d-dd76da1f02a5"/>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305554D6-1FEB-4E3D-BA88-5F279922E75F}">
  <ds:schemaRefs>
    <ds:schemaRef ds:uri="http://schemas.microsoft.com/sharepoint/v3/contenttype/forms"/>
  </ds:schemaRefs>
</ds:datastoreItem>
</file>

<file path=customXml/itemProps4.xml><?xml version="1.0" encoding="utf-8"?>
<ds:datastoreItem xmlns:ds="http://schemas.openxmlformats.org/officeDocument/2006/customXml" ds:itemID="{168FB487-0899-43E6-AD79-292DAA79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2930</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2022-07-29T19:38:00Z</dcterms:created>
  <dcterms:modified xsi:type="dcterms:W3CDTF">2022-08-02T13:46:00Z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